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elha"/>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7790"/>
      </w:tblGrid>
      <w:tr w:rsidR="00D374CC" w:rsidRPr="00DB2A61" w:rsidTr="009F577D">
        <w:tc>
          <w:tcPr>
            <w:tcW w:w="8352" w:type="dxa"/>
            <w:gridSpan w:val="2"/>
            <w:tcBorders>
              <w:bottom w:val="single" w:sz="4" w:space="0" w:color="auto"/>
            </w:tcBorders>
          </w:tcPr>
          <w:p w:rsidR="00D374CC" w:rsidRPr="00DB2A61" w:rsidRDefault="00D374CC" w:rsidP="00A96D7E">
            <w:pPr>
              <w:spacing w:after="100" w:line="276" w:lineRule="auto"/>
              <w:jc w:val="both"/>
              <w:rPr>
                <w:b/>
                <w:sz w:val="20"/>
                <w:szCs w:val="20"/>
              </w:rPr>
            </w:pPr>
            <w:bookmarkStart w:id="0" w:name="_GoBack"/>
            <w:bookmarkEnd w:id="0"/>
            <w:r w:rsidRPr="00DB2A61">
              <w:rPr>
                <w:b/>
                <w:sz w:val="20"/>
                <w:szCs w:val="20"/>
              </w:rPr>
              <w:t>DESIGNAÇÃO</w:t>
            </w:r>
          </w:p>
        </w:tc>
      </w:tr>
      <w:tr w:rsidR="00E019D5" w:rsidRPr="00E019D5" w:rsidTr="009F577D">
        <w:trPr>
          <w:trHeight w:val="137"/>
        </w:trPr>
        <w:tc>
          <w:tcPr>
            <w:tcW w:w="562" w:type="dxa"/>
            <w:tcBorders>
              <w:top w:val="single" w:sz="4" w:space="0" w:color="auto"/>
              <w:bottom w:val="nil"/>
            </w:tcBorders>
          </w:tcPr>
          <w:p w:rsidR="00D374CC" w:rsidRPr="00E019D5" w:rsidRDefault="00D374CC" w:rsidP="00A96D7E">
            <w:pPr>
              <w:spacing w:after="100" w:line="276" w:lineRule="auto"/>
              <w:jc w:val="both"/>
              <w:rPr>
                <w:sz w:val="20"/>
                <w:szCs w:val="20"/>
              </w:rPr>
            </w:pPr>
          </w:p>
        </w:tc>
        <w:tc>
          <w:tcPr>
            <w:tcW w:w="7790" w:type="dxa"/>
            <w:tcBorders>
              <w:top w:val="single" w:sz="4" w:space="0" w:color="auto"/>
              <w:bottom w:val="nil"/>
            </w:tcBorders>
          </w:tcPr>
          <w:p w:rsidR="00D374CC" w:rsidRPr="00E019D5" w:rsidRDefault="00D374CC" w:rsidP="00A96D7E">
            <w:pPr>
              <w:spacing w:after="100" w:line="276" w:lineRule="auto"/>
              <w:jc w:val="both"/>
              <w:rPr>
                <w:sz w:val="20"/>
                <w:szCs w:val="20"/>
              </w:rPr>
            </w:pPr>
            <w:r w:rsidRPr="00E019D5">
              <w:rPr>
                <w:sz w:val="20"/>
                <w:szCs w:val="20"/>
              </w:rPr>
              <w:t xml:space="preserve">Área de reabilitação urbana do centro cívico e histórico de </w:t>
            </w:r>
            <w:r w:rsidR="00F31675">
              <w:rPr>
                <w:sz w:val="20"/>
                <w:szCs w:val="20"/>
              </w:rPr>
              <w:t>S. Jorge de Selho</w:t>
            </w:r>
          </w:p>
          <w:p w:rsidR="00D374CC" w:rsidRPr="00E019D5" w:rsidRDefault="00D374CC" w:rsidP="00A96D7E">
            <w:pPr>
              <w:spacing w:after="100" w:line="276" w:lineRule="auto"/>
              <w:jc w:val="both"/>
              <w:rPr>
                <w:sz w:val="20"/>
                <w:szCs w:val="20"/>
              </w:rPr>
            </w:pPr>
          </w:p>
        </w:tc>
      </w:tr>
      <w:tr w:rsidR="000D0FCE" w:rsidRPr="000D0FCE" w:rsidTr="009F577D">
        <w:tc>
          <w:tcPr>
            <w:tcW w:w="8352" w:type="dxa"/>
            <w:gridSpan w:val="2"/>
            <w:tcBorders>
              <w:top w:val="nil"/>
            </w:tcBorders>
          </w:tcPr>
          <w:p w:rsidR="000D0FCE" w:rsidRPr="000D0FCE" w:rsidRDefault="000D0FCE" w:rsidP="00A96D7E">
            <w:pPr>
              <w:spacing w:after="100" w:line="276" w:lineRule="auto"/>
              <w:jc w:val="both"/>
              <w:rPr>
                <w:b/>
                <w:sz w:val="20"/>
                <w:szCs w:val="20"/>
              </w:rPr>
            </w:pPr>
            <w:r w:rsidRPr="000D0FCE">
              <w:rPr>
                <w:b/>
                <w:sz w:val="20"/>
                <w:szCs w:val="20"/>
              </w:rPr>
              <w:t>ENQUADRAMENTO LEGAL</w:t>
            </w:r>
          </w:p>
        </w:tc>
      </w:tr>
      <w:tr w:rsidR="000D0FCE" w:rsidRPr="000D0FCE" w:rsidTr="00792A63">
        <w:trPr>
          <w:trHeight w:val="137"/>
        </w:trPr>
        <w:tc>
          <w:tcPr>
            <w:tcW w:w="562" w:type="dxa"/>
          </w:tcPr>
          <w:p w:rsidR="000D0FCE" w:rsidRPr="000D0FCE" w:rsidRDefault="000D0FCE" w:rsidP="00A96D7E">
            <w:pPr>
              <w:spacing w:after="100" w:line="276" w:lineRule="auto"/>
              <w:jc w:val="both"/>
              <w:rPr>
                <w:sz w:val="20"/>
                <w:szCs w:val="20"/>
              </w:rPr>
            </w:pPr>
          </w:p>
        </w:tc>
        <w:tc>
          <w:tcPr>
            <w:tcW w:w="7790" w:type="dxa"/>
          </w:tcPr>
          <w:p w:rsidR="000D0FCE" w:rsidRPr="000D0FCE" w:rsidRDefault="000D0FCE" w:rsidP="00A96D7E">
            <w:pPr>
              <w:spacing w:after="100" w:line="276" w:lineRule="auto"/>
              <w:jc w:val="both"/>
              <w:rPr>
                <w:sz w:val="20"/>
                <w:szCs w:val="20"/>
              </w:rPr>
            </w:pPr>
            <w:r w:rsidRPr="000D0FCE">
              <w:rPr>
                <w:sz w:val="20"/>
                <w:szCs w:val="20"/>
              </w:rPr>
              <w:t>O regime jurídico de reabilitação urbana (RJRU), enquadrado pelo decreto-lei 307/2009 de 23 outubro, alterado e republicado pela Lei 32/2012 de 14 agosto, perspetiva a constituição de “áreas de reabilitação urbana” (ARU) enquanto “áreas territorialmente delimitadas que, em virtude da insuficiência, degradação ou obsolescência dos edifícios, das infraestruturas, dos equipamentos de utilização coletiva e dos espaços urbanos e verdes de utilização coletiva, designadamente no que se refere às suas condições de uso, solidez, segurança, estética ou salubridade, justifiquem intervenções integradas, através de operações de reabilitação urbana aprovadas em instrumentos próprios ou em planos de pormenor de reabilitação urbana”.</w:t>
            </w:r>
          </w:p>
          <w:p w:rsidR="000D0FCE" w:rsidRPr="000D0FCE" w:rsidRDefault="000D0FCE" w:rsidP="00A96D7E">
            <w:pPr>
              <w:spacing w:after="100" w:line="276" w:lineRule="auto"/>
              <w:jc w:val="both"/>
              <w:rPr>
                <w:sz w:val="20"/>
                <w:szCs w:val="20"/>
              </w:rPr>
            </w:pPr>
            <w:r w:rsidRPr="000D0FCE">
              <w:rPr>
                <w:sz w:val="20"/>
                <w:szCs w:val="20"/>
              </w:rPr>
              <w:t>Inerente a esta figura legal um conjunto de benefícios e incentivos fiscais e administrativos, as áreas de reabilitação urbana poderão assumir as figuras de “operação de reabilitação urbana simples” (quando dirigida fundamentalmente à reabilitação do edificado) ou “operação de reabilitação urbana sistemática” (quando conjugada a reabilitação do edificado com a (re) qualificação do tecido urbano, suas infraestruturas, seus equipamentos e espaços verdes e onde o investimento e as ações públicas são determinantes).</w:t>
            </w:r>
          </w:p>
          <w:p w:rsidR="000D0FCE" w:rsidRPr="000D0FCE" w:rsidRDefault="000D0FCE" w:rsidP="00A96D7E">
            <w:pPr>
              <w:spacing w:after="100" w:line="276" w:lineRule="auto"/>
              <w:jc w:val="both"/>
              <w:rPr>
                <w:sz w:val="20"/>
                <w:szCs w:val="20"/>
              </w:rPr>
            </w:pPr>
            <w:r w:rsidRPr="000D0FCE">
              <w:rPr>
                <w:sz w:val="20"/>
                <w:szCs w:val="20"/>
              </w:rPr>
              <w:t>As ARU perseguem e visam contribuir para a concretização dos grandes objetivos de reabilitação urbana, a saber: conjugar e harmonizar a reabilitação privada dos edifícios com o dever público de qualificar o espaço comunitário ou público; coordenar a ação dos diferentes atores que atuam sobre o território; Agilizar procedimentos administrativos; encontrar novos modelos de gestão e atuação na cidade bem como identificar ferramentas e instrumentos financeiros e cadastrais que potenciem a eliminação daqueles que são, regra geral, apontados como os grandes entraves à reabilitação – o custo e a propriedade.</w:t>
            </w:r>
          </w:p>
          <w:p w:rsidR="000D0FCE" w:rsidRPr="000D0FCE" w:rsidRDefault="000D0FCE" w:rsidP="007C5B61">
            <w:pPr>
              <w:spacing w:after="100" w:line="276" w:lineRule="auto"/>
              <w:jc w:val="both"/>
              <w:rPr>
                <w:sz w:val="20"/>
                <w:szCs w:val="20"/>
              </w:rPr>
            </w:pPr>
            <w:r w:rsidRPr="000D0FCE">
              <w:rPr>
                <w:sz w:val="20"/>
                <w:szCs w:val="20"/>
              </w:rPr>
              <w:t>Tida como um grande veículo de regeneração e promoção das cidades, a reabilitação urbana conhece hoje uma consensualização da sua prioridade que encontra nas ARU uma forma concreta e facilitadora de uma concretização coerente e eficaz.</w:t>
            </w:r>
          </w:p>
        </w:tc>
      </w:tr>
    </w:tbl>
    <w:p w:rsidR="00DB2A61" w:rsidRPr="00DB2A61" w:rsidRDefault="00DB2A61" w:rsidP="00A96D7E">
      <w:pPr>
        <w:spacing w:after="100" w:line="276" w:lineRule="auto"/>
        <w:jc w:val="both"/>
        <w:rPr>
          <w:sz w:val="20"/>
          <w:szCs w:val="20"/>
        </w:rPr>
      </w:pPr>
    </w:p>
    <w:tbl>
      <w:tblPr>
        <w:tblStyle w:val="Tabelacomgrelha"/>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7790"/>
      </w:tblGrid>
      <w:tr w:rsidR="00DB2A61" w:rsidTr="00792A63">
        <w:tc>
          <w:tcPr>
            <w:tcW w:w="8352" w:type="dxa"/>
            <w:gridSpan w:val="2"/>
          </w:tcPr>
          <w:p w:rsidR="00DB2A61" w:rsidRPr="00DB2A61" w:rsidRDefault="00B156CB" w:rsidP="00A96D7E">
            <w:pPr>
              <w:spacing w:after="100" w:line="276" w:lineRule="auto"/>
              <w:jc w:val="both"/>
              <w:rPr>
                <w:b/>
                <w:sz w:val="20"/>
                <w:szCs w:val="20"/>
              </w:rPr>
            </w:pPr>
            <w:r>
              <w:rPr>
                <w:b/>
                <w:sz w:val="20"/>
                <w:szCs w:val="20"/>
              </w:rPr>
              <w:t>ESTRATÉGIA GLOBAL DE ATUAÇÃO MUNICIPAL</w:t>
            </w:r>
          </w:p>
        </w:tc>
      </w:tr>
      <w:tr w:rsidR="00DB2A61" w:rsidTr="00792A63">
        <w:tc>
          <w:tcPr>
            <w:tcW w:w="562" w:type="dxa"/>
          </w:tcPr>
          <w:p w:rsidR="00DB2A61" w:rsidRDefault="00DB2A61" w:rsidP="00A96D7E">
            <w:pPr>
              <w:spacing w:after="100" w:line="276" w:lineRule="auto"/>
              <w:jc w:val="both"/>
              <w:rPr>
                <w:sz w:val="20"/>
                <w:szCs w:val="20"/>
              </w:rPr>
            </w:pPr>
          </w:p>
        </w:tc>
        <w:tc>
          <w:tcPr>
            <w:tcW w:w="7790" w:type="dxa"/>
          </w:tcPr>
          <w:p w:rsidR="00B156CB" w:rsidRDefault="00B156CB" w:rsidP="00A96D7E">
            <w:pPr>
              <w:spacing w:after="100" w:line="276" w:lineRule="auto"/>
              <w:jc w:val="both"/>
              <w:rPr>
                <w:sz w:val="20"/>
                <w:szCs w:val="20"/>
              </w:rPr>
            </w:pPr>
            <w:r>
              <w:rPr>
                <w:sz w:val="20"/>
                <w:szCs w:val="20"/>
              </w:rPr>
              <w:t xml:space="preserve">Perseguindo a valorização e a qualificação do sistema territorial policêntrico reconhecido a Guimarães, a rentabilização e aprofundamento do espaço público enquanto </w:t>
            </w:r>
            <w:r w:rsidR="007C5B61">
              <w:rPr>
                <w:sz w:val="20"/>
                <w:szCs w:val="20"/>
              </w:rPr>
              <w:t>polo</w:t>
            </w:r>
            <w:r>
              <w:rPr>
                <w:sz w:val="20"/>
                <w:szCs w:val="20"/>
              </w:rPr>
              <w:t xml:space="preserve"> de atuação comunitária por excelência, o reforço da economia e do património enquanto elementos estruturadores da identidade e do dinamismo do Município, numa estratégia (plasmada nos instrumentos de gestão territorial em vigor) onde as vilas ocupam papel charneira entre a cidade e as freguesias e âncoras territoriais, procura-se:</w:t>
            </w:r>
            <w:r w:rsidRPr="00B156CB">
              <w:rPr>
                <w:sz w:val="20"/>
                <w:szCs w:val="20"/>
              </w:rPr>
              <w:tab/>
            </w:r>
          </w:p>
          <w:p w:rsidR="00B156CB" w:rsidRPr="00B156CB" w:rsidRDefault="00B156CB" w:rsidP="00A96D7E">
            <w:pPr>
              <w:pStyle w:val="PargrafodaLista"/>
              <w:numPr>
                <w:ilvl w:val="0"/>
                <w:numId w:val="13"/>
              </w:numPr>
              <w:spacing w:after="100" w:line="276" w:lineRule="auto"/>
              <w:ind w:left="606" w:hanging="246"/>
              <w:jc w:val="both"/>
              <w:rPr>
                <w:sz w:val="20"/>
                <w:szCs w:val="20"/>
              </w:rPr>
            </w:pPr>
            <w:r w:rsidRPr="00B156CB">
              <w:rPr>
                <w:sz w:val="20"/>
                <w:szCs w:val="20"/>
              </w:rPr>
              <w:t>Assunção da reabilitação como princípio natural de intervenção (embora não negando a construção nova feita património do futuro</w:t>
            </w:r>
            <w:r>
              <w:rPr>
                <w:sz w:val="20"/>
                <w:szCs w:val="20"/>
              </w:rPr>
              <w:t>)</w:t>
            </w:r>
            <w:r w:rsidRPr="00B156CB">
              <w:rPr>
                <w:sz w:val="20"/>
                <w:szCs w:val="20"/>
              </w:rPr>
              <w:t>;</w:t>
            </w:r>
          </w:p>
          <w:p w:rsidR="00B156CB" w:rsidRDefault="00B156CB" w:rsidP="00A96D7E">
            <w:pPr>
              <w:pStyle w:val="PargrafodaLista"/>
              <w:numPr>
                <w:ilvl w:val="0"/>
                <w:numId w:val="13"/>
              </w:numPr>
              <w:spacing w:after="100" w:line="276" w:lineRule="auto"/>
              <w:ind w:left="606" w:hanging="246"/>
              <w:jc w:val="both"/>
              <w:rPr>
                <w:sz w:val="20"/>
                <w:szCs w:val="20"/>
              </w:rPr>
            </w:pPr>
            <w:r w:rsidRPr="00B156CB">
              <w:rPr>
                <w:sz w:val="20"/>
                <w:szCs w:val="20"/>
              </w:rPr>
              <w:lastRenderedPageBreak/>
              <w:t>Tratamento de todo o património por igual, independentemente da sua dimensão ou presença;</w:t>
            </w:r>
          </w:p>
          <w:p w:rsidR="00B156CB" w:rsidRDefault="00B156CB" w:rsidP="00A96D7E">
            <w:pPr>
              <w:pStyle w:val="PargrafodaLista"/>
              <w:numPr>
                <w:ilvl w:val="0"/>
                <w:numId w:val="13"/>
              </w:numPr>
              <w:spacing w:after="100" w:line="276" w:lineRule="auto"/>
              <w:ind w:left="606" w:hanging="246"/>
              <w:jc w:val="both"/>
              <w:rPr>
                <w:sz w:val="20"/>
                <w:szCs w:val="20"/>
              </w:rPr>
            </w:pPr>
            <w:r w:rsidRPr="00B156CB">
              <w:rPr>
                <w:sz w:val="20"/>
                <w:szCs w:val="20"/>
              </w:rPr>
              <w:t>Requalificação continuada do espaço público não só ao nível do seu subsolo e infraestruturação como também ao nível da sua superfície e mobiliário urbano (promovendo melhores condições de estar e circular</w:t>
            </w:r>
            <w:r w:rsidR="00D374CC">
              <w:rPr>
                <w:sz w:val="20"/>
                <w:szCs w:val="20"/>
              </w:rPr>
              <w:t xml:space="preserve"> – favorecendo a bicicleta e a pedonalização</w:t>
            </w:r>
            <w:r w:rsidRPr="00B156CB">
              <w:rPr>
                <w:sz w:val="20"/>
                <w:szCs w:val="20"/>
              </w:rPr>
              <w:t>);</w:t>
            </w:r>
          </w:p>
          <w:p w:rsidR="00B156CB" w:rsidRPr="00D374CC" w:rsidRDefault="00B156CB" w:rsidP="00A96D7E">
            <w:pPr>
              <w:pStyle w:val="PargrafodaLista"/>
              <w:numPr>
                <w:ilvl w:val="0"/>
                <w:numId w:val="13"/>
              </w:numPr>
              <w:spacing w:after="100" w:line="276" w:lineRule="auto"/>
              <w:ind w:left="606" w:hanging="246"/>
              <w:jc w:val="both"/>
              <w:rPr>
                <w:sz w:val="20"/>
                <w:szCs w:val="20"/>
              </w:rPr>
            </w:pPr>
            <w:r w:rsidRPr="00D374CC">
              <w:rPr>
                <w:sz w:val="20"/>
                <w:szCs w:val="20"/>
              </w:rPr>
              <w:t>Envolvimento con</w:t>
            </w:r>
            <w:r w:rsidR="00D374CC" w:rsidRPr="00D374CC">
              <w:rPr>
                <w:sz w:val="20"/>
                <w:szCs w:val="20"/>
              </w:rPr>
              <w:t>stantemente da população local;</w:t>
            </w:r>
          </w:p>
          <w:p w:rsidR="00DB2A61" w:rsidRDefault="00D374CC" w:rsidP="00A96D7E">
            <w:pPr>
              <w:spacing w:after="100" w:line="276" w:lineRule="auto"/>
              <w:jc w:val="both"/>
              <w:rPr>
                <w:sz w:val="20"/>
                <w:szCs w:val="20"/>
              </w:rPr>
            </w:pPr>
            <w:r>
              <w:rPr>
                <w:sz w:val="20"/>
                <w:szCs w:val="20"/>
              </w:rPr>
              <w:t>A</w:t>
            </w:r>
            <w:r w:rsidR="00B156CB" w:rsidRPr="00B156CB">
              <w:rPr>
                <w:sz w:val="20"/>
                <w:szCs w:val="20"/>
              </w:rPr>
              <w:t xml:space="preserve"> estratégia </w:t>
            </w:r>
            <w:r>
              <w:rPr>
                <w:sz w:val="20"/>
                <w:szCs w:val="20"/>
              </w:rPr>
              <w:t>desenhada</w:t>
            </w:r>
            <w:r w:rsidR="00B156CB" w:rsidRPr="00B156CB">
              <w:rPr>
                <w:sz w:val="20"/>
                <w:szCs w:val="20"/>
              </w:rPr>
              <w:t xml:space="preserve"> sustenta</w:t>
            </w:r>
            <w:r>
              <w:rPr>
                <w:sz w:val="20"/>
                <w:szCs w:val="20"/>
              </w:rPr>
              <w:t>-se</w:t>
            </w:r>
            <w:r w:rsidR="00B156CB" w:rsidRPr="00B156CB">
              <w:rPr>
                <w:sz w:val="20"/>
                <w:szCs w:val="20"/>
              </w:rPr>
              <w:t xml:space="preserve"> num tempo de coerência e persistência </w:t>
            </w:r>
            <w:r>
              <w:rPr>
                <w:sz w:val="20"/>
                <w:szCs w:val="20"/>
              </w:rPr>
              <w:t>e no aprofundamento do seu percurso longo que se renova no presente com o referencial central na construção de um ambiente urbano de excelência.</w:t>
            </w:r>
          </w:p>
        </w:tc>
      </w:tr>
    </w:tbl>
    <w:p w:rsidR="00C764B8" w:rsidRDefault="00C764B8" w:rsidP="00A96D7E">
      <w:pPr>
        <w:spacing w:after="100" w:line="276" w:lineRule="auto"/>
        <w:ind w:left="142"/>
        <w:jc w:val="both"/>
        <w:rPr>
          <w:sz w:val="20"/>
          <w:szCs w:val="20"/>
        </w:rPr>
      </w:pPr>
    </w:p>
    <w:tbl>
      <w:tblPr>
        <w:tblStyle w:val="Tabelacomgrelha"/>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7790"/>
      </w:tblGrid>
      <w:tr w:rsidR="00D374CC" w:rsidTr="00792A63">
        <w:tc>
          <w:tcPr>
            <w:tcW w:w="8352" w:type="dxa"/>
            <w:gridSpan w:val="2"/>
          </w:tcPr>
          <w:p w:rsidR="00D374CC" w:rsidRPr="00DB2A61" w:rsidRDefault="00D374CC" w:rsidP="00A96D7E">
            <w:pPr>
              <w:spacing w:after="100" w:line="276" w:lineRule="auto"/>
              <w:jc w:val="both"/>
              <w:rPr>
                <w:b/>
                <w:sz w:val="20"/>
                <w:szCs w:val="20"/>
              </w:rPr>
            </w:pPr>
            <w:r>
              <w:rPr>
                <w:b/>
                <w:sz w:val="20"/>
                <w:szCs w:val="20"/>
              </w:rPr>
              <w:t>CRITÉRIOS DE DELIMITAÇÃO</w:t>
            </w:r>
          </w:p>
        </w:tc>
      </w:tr>
      <w:tr w:rsidR="00D374CC" w:rsidTr="00792A63">
        <w:trPr>
          <w:trHeight w:val="137"/>
        </w:trPr>
        <w:tc>
          <w:tcPr>
            <w:tcW w:w="562" w:type="dxa"/>
          </w:tcPr>
          <w:p w:rsidR="00D374CC" w:rsidRDefault="00D374CC" w:rsidP="00A96D7E">
            <w:pPr>
              <w:spacing w:after="100" w:line="276" w:lineRule="auto"/>
              <w:jc w:val="both"/>
              <w:rPr>
                <w:sz w:val="20"/>
                <w:szCs w:val="20"/>
              </w:rPr>
            </w:pPr>
          </w:p>
        </w:tc>
        <w:tc>
          <w:tcPr>
            <w:tcW w:w="7790" w:type="dxa"/>
          </w:tcPr>
          <w:p w:rsidR="00D374CC" w:rsidRPr="00D374CC" w:rsidRDefault="00D374CC" w:rsidP="00A96D7E">
            <w:pPr>
              <w:spacing w:after="100" w:line="276" w:lineRule="auto"/>
              <w:jc w:val="both"/>
              <w:rPr>
                <w:sz w:val="20"/>
                <w:szCs w:val="20"/>
              </w:rPr>
            </w:pPr>
            <w:r>
              <w:rPr>
                <w:sz w:val="20"/>
                <w:szCs w:val="20"/>
              </w:rPr>
              <w:t>I</w:t>
            </w:r>
            <w:r w:rsidRPr="00D374CC">
              <w:rPr>
                <w:sz w:val="20"/>
                <w:szCs w:val="20"/>
              </w:rPr>
              <w:t>dentific</w:t>
            </w:r>
            <w:r>
              <w:rPr>
                <w:sz w:val="20"/>
                <w:szCs w:val="20"/>
              </w:rPr>
              <w:t>a</w:t>
            </w:r>
            <w:r w:rsidRPr="00D374CC">
              <w:rPr>
                <w:sz w:val="20"/>
                <w:szCs w:val="20"/>
              </w:rPr>
              <w:t>m-se um conjunto de quatro critérios que fundamentam</w:t>
            </w:r>
            <w:r>
              <w:rPr>
                <w:sz w:val="20"/>
                <w:szCs w:val="20"/>
              </w:rPr>
              <w:t xml:space="preserve"> a</w:t>
            </w:r>
            <w:r w:rsidRPr="00D374CC">
              <w:rPr>
                <w:sz w:val="20"/>
                <w:szCs w:val="20"/>
              </w:rPr>
              <w:t xml:space="preserve"> delimitação</w:t>
            </w:r>
            <w:r>
              <w:rPr>
                <w:sz w:val="20"/>
                <w:szCs w:val="20"/>
              </w:rPr>
              <w:t xml:space="preserve"> proposta</w:t>
            </w:r>
            <w:r w:rsidRPr="00D374CC">
              <w:rPr>
                <w:sz w:val="20"/>
                <w:szCs w:val="20"/>
              </w:rPr>
              <w:t>:</w:t>
            </w:r>
          </w:p>
          <w:p w:rsidR="00D374CC" w:rsidRPr="00D374CC" w:rsidRDefault="00D374CC" w:rsidP="00A96D7E">
            <w:pPr>
              <w:pStyle w:val="PargrafodaLista"/>
              <w:numPr>
                <w:ilvl w:val="0"/>
                <w:numId w:val="14"/>
              </w:numPr>
              <w:spacing w:after="100" w:line="276" w:lineRule="auto"/>
              <w:ind w:left="606" w:hanging="246"/>
              <w:jc w:val="both"/>
              <w:rPr>
                <w:sz w:val="20"/>
                <w:szCs w:val="20"/>
              </w:rPr>
            </w:pPr>
            <w:r w:rsidRPr="00D374CC">
              <w:rPr>
                <w:sz w:val="20"/>
                <w:szCs w:val="20"/>
              </w:rPr>
              <w:t>Critérios físicos, relacionados com legibilidade de construções, topografia e elementos notáveis presentes no território;</w:t>
            </w:r>
          </w:p>
          <w:p w:rsidR="00D374CC" w:rsidRDefault="00D374CC" w:rsidP="00A96D7E">
            <w:pPr>
              <w:pStyle w:val="PargrafodaLista"/>
              <w:numPr>
                <w:ilvl w:val="0"/>
                <w:numId w:val="14"/>
              </w:numPr>
              <w:spacing w:after="100" w:line="276" w:lineRule="auto"/>
              <w:ind w:left="606" w:hanging="246"/>
              <w:jc w:val="both"/>
              <w:rPr>
                <w:sz w:val="20"/>
                <w:szCs w:val="20"/>
              </w:rPr>
            </w:pPr>
            <w:r w:rsidRPr="00D374CC">
              <w:rPr>
                <w:sz w:val="20"/>
                <w:szCs w:val="20"/>
              </w:rPr>
              <w:t>Critérios de relevância patrimonial, histórica e urbanística;</w:t>
            </w:r>
          </w:p>
          <w:p w:rsidR="00D374CC" w:rsidRPr="00D374CC" w:rsidRDefault="00D374CC" w:rsidP="00A96D7E">
            <w:pPr>
              <w:pStyle w:val="PargrafodaLista"/>
              <w:numPr>
                <w:ilvl w:val="0"/>
                <w:numId w:val="14"/>
              </w:numPr>
              <w:spacing w:after="100" w:line="276" w:lineRule="auto"/>
              <w:ind w:left="606" w:hanging="246"/>
              <w:jc w:val="both"/>
              <w:rPr>
                <w:sz w:val="20"/>
                <w:szCs w:val="20"/>
              </w:rPr>
            </w:pPr>
            <w:r w:rsidRPr="00D374CC">
              <w:rPr>
                <w:sz w:val="20"/>
                <w:szCs w:val="20"/>
              </w:rPr>
              <w:t>De complementaridade funcional e abrangência por intervenções municipais já realizadas ou perspetivadas;</w:t>
            </w:r>
          </w:p>
          <w:p w:rsidR="00D374CC" w:rsidRPr="00D374CC" w:rsidRDefault="00D374CC" w:rsidP="00A96D7E">
            <w:pPr>
              <w:pStyle w:val="PargrafodaLista"/>
              <w:numPr>
                <w:ilvl w:val="0"/>
                <w:numId w:val="14"/>
              </w:numPr>
              <w:spacing w:after="100" w:line="276" w:lineRule="auto"/>
              <w:ind w:left="606" w:hanging="246"/>
              <w:jc w:val="both"/>
              <w:rPr>
                <w:sz w:val="20"/>
                <w:szCs w:val="20"/>
              </w:rPr>
            </w:pPr>
            <w:r w:rsidRPr="00D374CC">
              <w:rPr>
                <w:sz w:val="20"/>
                <w:szCs w:val="20"/>
              </w:rPr>
              <w:t>Importância e impacto da área / elementos incorporados na concretização dos objetivos gerais identificados</w:t>
            </w:r>
            <w:r>
              <w:rPr>
                <w:sz w:val="20"/>
                <w:szCs w:val="20"/>
              </w:rPr>
              <w:t xml:space="preserve"> e nos estudos urbanísticos realizados.</w:t>
            </w:r>
          </w:p>
        </w:tc>
      </w:tr>
    </w:tbl>
    <w:p w:rsidR="00D374CC" w:rsidRDefault="00D374CC" w:rsidP="00A96D7E">
      <w:pPr>
        <w:spacing w:after="100" w:line="276" w:lineRule="auto"/>
        <w:ind w:left="142"/>
        <w:jc w:val="both"/>
        <w:rPr>
          <w:sz w:val="20"/>
          <w:szCs w:val="20"/>
        </w:rPr>
      </w:pPr>
    </w:p>
    <w:tbl>
      <w:tblPr>
        <w:tblStyle w:val="Tabelacomgrelha"/>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7790"/>
      </w:tblGrid>
      <w:tr w:rsidR="00D374CC" w:rsidTr="00792A63">
        <w:tc>
          <w:tcPr>
            <w:tcW w:w="8352" w:type="dxa"/>
            <w:gridSpan w:val="2"/>
          </w:tcPr>
          <w:p w:rsidR="00D374CC" w:rsidRPr="00DB2A61" w:rsidRDefault="009F577D" w:rsidP="00A96D7E">
            <w:pPr>
              <w:spacing w:after="100" w:line="276" w:lineRule="auto"/>
              <w:jc w:val="both"/>
              <w:rPr>
                <w:b/>
                <w:sz w:val="20"/>
                <w:szCs w:val="20"/>
              </w:rPr>
            </w:pPr>
            <w:r>
              <w:rPr>
                <w:b/>
                <w:sz w:val="20"/>
                <w:szCs w:val="20"/>
              </w:rPr>
              <w:t>CARACTERÍSTICAS DA ARU</w:t>
            </w:r>
          </w:p>
        </w:tc>
      </w:tr>
      <w:tr w:rsidR="00D374CC" w:rsidTr="00792A63">
        <w:tc>
          <w:tcPr>
            <w:tcW w:w="562" w:type="dxa"/>
          </w:tcPr>
          <w:p w:rsidR="00D374CC" w:rsidRDefault="00D374CC" w:rsidP="00A96D7E">
            <w:pPr>
              <w:spacing w:after="100" w:line="276" w:lineRule="auto"/>
              <w:jc w:val="both"/>
              <w:rPr>
                <w:sz w:val="20"/>
                <w:szCs w:val="20"/>
              </w:rPr>
            </w:pPr>
          </w:p>
        </w:tc>
        <w:tc>
          <w:tcPr>
            <w:tcW w:w="7790" w:type="dxa"/>
          </w:tcPr>
          <w:p w:rsidR="009F577D" w:rsidRDefault="009F577D" w:rsidP="00A96D7E">
            <w:pPr>
              <w:spacing w:after="100" w:line="276" w:lineRule="auto"/>
              <w:jc w:val="both"/>
              <w:rPr>
                <w:sz w:val="20"/>
                <w:szCs w:val="20"/>
              </w:rPr>
            </w:pPr>
            <w:r>
              <w:rPr>
                <w:sz w:val="20"/>
                <w:szCs w:val="20"/>
              </w:rPr>
              <w:t>Área de reabilitação urbana sistemática</w:t>
            </w:r>
          </w:p>
          <w:p w:rsidR="009F577D" w:rsidRPr="009F577D" w:rsidRDefault="009F577D" w:rsidP="00A96D7E">
            <w:pPr>
              <w:spacing w:after="100" w:line="276" w:lineRule="auto"/>
              <w:jc w:val="both"/>
              <w:rPr>
                <w:sz w:val="20"/>
                <w:szCs w:val="20"/>
              </w:rPr>
            </w:pPr>
            <w:r>
              <w:rPr>
                <w:sz w:val="20"/>
                <w:szCs w:val="20"/>
              </w:rPr>
              <w:t>Operação de reabilitação urbana</w:t>
            </w:r>
          </w:p>
          <w:p w:rsidR="00D374CC" w:rsidRDefault="009F577D" w:rsidP="00A96D7E">
            <w:pPr>
              <w:spacing w:after="100" w:line="276" w:lineRule="auto"/>
              <w:jc w:val="both"/>
              <w:rPr>
                <w:sz w:val="20"/>
                <w:szCs w:val="20"/>
              </w:rPr>
            </w:pPr>
            <w:r>
              <w:rPr>
                <w:sz w:val="20"/>
                <w:szCs w:val="20"/>
              </w:rPr>
              <w:t>Entidade gestora da ARU: Câmara Municipal de Guimarães</w:t>
            </w:r>
          </w:p>
        </w:tc>
      </w:tr>
    </w:tbl>
    <w:p w:rsidR="00D374CC" w:rsidRDefault="00D374CC" w:rsidP="00A96D7E">
      <w:pPr>
        <w:spacing w:after="100" w:line="276" w:lineRule="auto"/>
        <w:ind w:left="142"/>
        <w:jc w:val="both"/>
        <w:rPr>
          <w:sz w:val="20"/>
          <w:szCs w:val="20"/>
        </w:rPr>
      </w:pPr>
    </w:p>
    <w:tbl>
      <w:tblPr>
        <w:tblStyle w:val="Tabelacomgrelha"/>
        <w:tblW w:w="8412"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6"/>
        <w:gridCol w:w="7786"/>
        <w:gridCol w:w="60"/>
      </w:tblGrid>
      <w:tr w:rsidR="0064437C" w:rsidTr="0064437C">
        <w:trPr>
          <w:gridAfter w:val="1"/>
          <w:wAfter w:w="60" w:type="dxa"/>
        </w:trPr>
        <w:tc>
          <w:tcPr>
            <w:tcW w:w="8352" w:type="dxa"/>
            <w:gridSpan w:val="2"/>
            <w:tcBorders>
              <w:bottom w:val="single" w:sz="4" w:space="0" w:color="auto"/>
            </w:tcBorders>
          </w:tcPr>
          <w:p w:rsidR="0064437C" w:rsidRPr="00DB2A61" w:rsidRDefault="0064437C" w:rsidP="00A96D7E">
            <w:pPr>
              <w:spacing w:after="100" w:line="276" w:lineRule="auto"/>
              <w:jc w:val="both"/>
              <w:rPr>
                <w:b/>
                <w:sz w:val="20"/>
                <w:szCs w:val="20"/>
              </w:rPr>
            </w:pPr>
            <w:r>
              <w:rPr>
                <w:b/>
                <w:sz w:val="20"/>
                <w:szCs w:val="20"/>
              </w:rPr>
              <w:t>DESCRIÇÃO SINTÉTICA DA ÁREA DEFINIDA</w:t>
            </w:r>
          </w:p>
        </w:tc>
      </w:tr>
      <w:tr w:rsidR="0064437C" w:rsidTr="0064437C">
        <w:trPr>
          <w:gridAfter w:val="1"/>
          <w:wAfter w:w="60" w:type="dxa"/>
        </w:trPr>
        <w:tc>
          <w:tcPr>
            <w:tcW w:w="562" w:type="dxa"/>
            <w:tcBorders>
              <w:top w:val="single" w:sz="4" w:space="0" w:color="auto"/>
              <w:bottom w:val="nil"/>
            </w:tcBorders>
          </w:tcPr>
          <w:p w:rsidR="0064437C" w:rsidRDefault="0064437C" w:rsidP="00A96D7E">
            <w:pPr>
              <w:spacing w:after="100" w:line="276" w:lineRule="auto"/>
              <w:jc w:val="both"/>
              <w:rPr>
                <w:sz w:val="20"/>
                <w:szCs w:val="20"/>
              </w:rPr>
            </w:pPr>
          </w:p>
        </w:tc>
        <w:tc>
          <w:tcPr>
            <w:tcW w:w="7790" w:type="dxa"/>
            <w:tcBorders>
              <w:top w:val="single" w:sz="4" w:space="0" w:color="auto"/>
              <w:bottom w:val="nil"/>
            </w:tcBorders>
          </w:tcPr>
          <w:p w:rsidR="00D46941" w:rsidRDefault="0064437C" w:rsidP="00A96D7E">
            <w:pPr>
              <w:spacing w:after="100" w:line="276" w:lineRule="auto"/>
              <w:jc w:val="both"/>
              <w:rPr>
                <w:sz w:val="20"/>
                <w:szCs w:val="20"/>
              </w:rPr>
            </w:pPr>
            <w:r>
              <w:rPr>
                <w:sz w:val="20"/>
                <w:szCs w:val="20"/>
              </w:rPr>
              <w:t xml:space="preserve">De área igual </w:t>
            </w:r>
            <w:r w:rsidR="00F31675">
              <w:rPr>
                <w:sz w:val="20"/>
                <w:szCs w:val="20"/>
              </w:rPr>
              <w:t xml:space="preserve">a </w:t>
            </w:r>
            <w:r w:rsidR="007C5B61">
              <w:rPr>
                <w:sz w:val="20"/>
                <w:szCs w:val="20"/>
              </w:rPr>
              <w:t>25,50</w:t>
            </w:r>
            <w:r w:rsidR="007D310D">
              <w:rPr>
                <w:sz w:val="20"/>
                <w:szCs w:val="20"/>
              </w:rPr>
              <w:t xml:space="preserve"> ha</w:t>
            </w:r>
            <w:r w:rsidR="00A96D7E">
              <w:t xml:space="preserve"> </w:t>
            </w:r>
            <w:r w:rsidR="00A96D7E" w:rsidRPr="00A96D7E">
              <w:rPr>
                <w:sz w:val="20"/>
                <w:szCs w:val="20"/>
              </w:rPr>
              <w:t>e historicamente mais antiga, patrimonial e central</w:t>
            </w:r>
            <w:r w:rsidR="00A96D7E">
              <w:rPr>
                <w:sz w:val="20"/>
                <w:szCs w:val="20"/>
              </w:rPr>
              <w:t>,</w:t>
            </w:r>
            <w:r w:rsidR="001E1E24">
              <w:rPr>
                <w:sz w:val="20"/>
                <w:szCs w:val="20"/>
              </w:rPr>
              <w:t xml:space="preserve"> a zona territorial abrangida </w:t>
            </w:r>
            <w:r w:rsidR="00F31675">
              <w:rPr>
                <w:sz w:val="20"/>
                <w:szCs w:val="20"/>
              </w:rPr>
              <w:t>corresponde a uma grande mancha que visa abranger e relacionar a grande conquista ambiental e de lazer dos tempos mais recentes da vila – parque de lazer de Selho – com o grande contentor industrial, entretanto devoluto, e um conjunto de equipamentos e serviços que, hoje, refletem a urbanidade de S. Jorge de Selho</w:t>
            </w:r>
            <w:r w:rsidR="00D46941">
              <w:rPr>
                <w:sz w:val="20"/>
                <w:szCs w:val="20"/>
              </w:rPr>
              <w:t>.</w:t>
            </w:r>
          </w:p>
          <w:p w:rsidR="00F31675" w:rsidRDefault="00F31675" w:rsidP="00A96D7E">
            <w:pPr>
              <w:spacing w:after="100" w:line="276" w:lineRule="auto"/>
              <w:jc w:val="both"/>
              <w:rPr>
                <w:sz w:val="20"/>
                <w:szCs w:val="20"/>
              </w:rPr>
            </w:pPr>
            <w:r>
              <w:rPr>
                <w:sz w:val="20"/>
                <w:szCs w:val="20"/>
              </w:rPr>
              <w:t xml:space="preserve">De grande diversidade tipológica e funcional, esta realidade reflete o processo histórico da construção da vila, encontrando-se no mesmo espaço o grande contentor industrial, a tipologia habitacional, ora multifamiliar, ora unifamiliar, o jardim e o equipamento público </w:t>
            </w:r>
            <w:r>
              <w:rPr>
                <w:sz w:val="20"/>
                <w:szCs w:val="20"/>
              </w:rPr>
              <w:lastRenderedPageBreak/>
              <w:t>numa miscelândia que dota esta zona central de uma riqueza urbana única mas também de complexos problemas e desafios urbanos.</w:t>
            </w:r>
          </w:p>
          <w:p w:rsidR="007C5B61" w:rsidRDefault="007C5B61" w:rsidP="00A96D7E">
            <w:pPr>
              <w:spacing w:after="100" w:line="276" w:lineRule="auto"/>
              <w:jc w:val="both"/>
              <w:rPr>
                <w:sz w:val="20"/>
                <w:szCs w:val="20"/>
              </w:rPr>
            </w:pPr>
            <w:r>
              <w:rPr>
                <w:sz w:val="20"/>
                <w:szCs w:val="20"/>
              </w:rPr>
              <w:t>Igualmente, esta área engloba o quarteirão confinante com o “centro” da vila, dominado pelas unidades industriais J. Pereira Fernandes e (antiga) Garcia Joalheiro, quarteirão este que apresenta um edificado antigo e que carece de reabilitação e requalificação (no só pelas suas caraterísticas associadas mas também pela respetiva inserção urbana).</w:t>
            </w:r>
          </w:p>
          <w:p w:rsidR="003B3E19" w:rsidRDefault="003B3E19" w:rsidP="00A96D7E">
            <w:pPr>
              <w:spacing w:after="100" w:line="276" w:lineRule="auto"/>
              <w:jc w:val="both"/>
              <w:rPr>
                <w:sz w:val="20"/>
                <w:szCs w:val="20"/>
              </w:rPr>
            </w:pPr>
            <w:r>
              <w:rPr>
                <w:sz w:val="20"/>
                <w:szCs w:val="20"/>
              </w:rPr>
              <w:t xml:space="preserve">Esta mesma área </w:t>
            </w:r>
            <w:r w:rsidR="00D46941">
              <w:rPr>
                <w:sz w:val="20"/>
                <w:szCs w:val="20"/>
              </w:rPr>
              <w:t>reflete já a concretização de premissas e ações fixadas no estudo urbanístico denominado “</w:t>
            </w:r>
            <w:r w:rsidR="00F31675">
              <w:rPr>
                <w:sz w:val="20"/>
                <w:szCs w:val="20"/>
              </w:rPr>
              <w:t>centralidade de Pevidém</w:t>
            </w:r>
            <w:r w:rsidR="00D46941">
              <w:rPr>
                <w:sz w:val="20"/>
                <w:szCs w:val="20"/>
              </w:rPr>
              <w:t>”.</w:t>
            </w:r>
          </w:p>
        </w:tc>
      </w:tr>
      <w:tr w:rsidR="0064437C" w:rsidTr="0064437C">
        <w:trPr>
          <w:gridAfter w:val="1"/>
          <w:wAfter w:w="60" w:type="dxa"/>
        </w:trPr>
        <w:tc>
          <w:tcPr>
            <w:tcW w:w="562" w:type="dxa"/>
            <w:tcBorders>
              <w:top w:val="nil"/>
              <w:bottom w:val="nil"/>
            </w:tcBorders>
          </w:tcPr>
          <w:p w:rsidR="0064437C" w:rsidRDefault="0064437C" w:rsidP="00A96D7E">
            <w:pPr>
              <w:spacing w:after="100" w:line="276" w:lineRule="auto"/>
              <w:jc w:val="both"/>
              <w:rPr>
                <w:sz w:val="20"/>
                <w:szCs w:val="20"/>
              </w:rPr>
            </w:pPr>
          </w:p>
        </w:tc>
        <w:tc>
          <w:tcPr>
            <w:tcW w:w="7790" w:type="dxa"/>
            <w:tcBorders>
              <w:top w:val="nil"/>
              <w:bottom w:val="nil"/>
            </w:tcBorders>
          </w:tcPr>
          <w:p w:rsidR="0064437C" w:rsidRDefault="0064437C" w:rsidP="00A96D7E">
            <w:pPr>
              <w:spacing w:after="100" w:line="276" w:lineRule="auto"/>
              <w:jc w:val="both"/>
              <w:rPr>
                <w:sz w:val="20"/>
                <w:szCs w:val="20"/>
              </w:rPr>
            </w:pPr>
          </w:p>
        </w:tc>
      </w:tr>
      <w:tr w:rsidR="00D374CC" w:rsidTr="0064437C">
        <w:trPr>
          <w:gridAfter w:val="1"/>
          <w:wAfter w:w="60" w:type="dxa"/>
        </w:trPr>
        <w:tc>
          <w:tcPr>
            <w:tcW w:w="8352" w:type="dxa"/>
            <w:gridSpan w:val="2"/>
            <w:tcBorders>
              <w:top w:val="nil"/>
              <w:bottom w:val="single" w:sz="4" w:space="0" w:color="auto"/>
            </w:tcBorders>
          </w:tcPr>
          <w:p w:rsidR="00D374CC" w:rsidRPr="00DB2A61" w:rsidRDefault="00D374CC" w:rsidP="00A96D7E">
            <w:pPr>
              <w:spacing w:after="100" w:line="276" w:lineRule="auto"/>
              <w:jc w:val="both"/>
              <w:rPr>
                <w:b/>
                <w:sz w:val="20"/>
                <w:szCs w:val="20"/>
              </w:rPr>
            </w:pPr>
            <w:r>
              <w:rPr>
                <w:b/>
                <w:sz w:val="20"/>
                <w:szCs w:val="20"/>
              </w:rPr>
              <w:t>OBJETIVOS GERAIS E ESPECÍFICOS</w:t>
            </w:r>
          </w:p>
        </w:tc>
      </w:tr>
      <w:tr w:rsidR="00D374CC" w:rsidTr="0064437C">
        <w:trPr>
          <w:gridAfter w:val="1"/>
          <w:wAfter w:w="60" w:type="dxa"/>
          <w:trHeight w:val="137"/>
        </w:trPr>
        <w:tc>
          <w:tcPr>
            <w:tcW w:w="566" w:type="dxa"/>
            <w:tcBorders>
              <w:top w:val="single" w:sz="4" w:space="0" w:color="auto"/>
              <w:bottom w:val="nil"/>
            </w:tcBorders>
          </w:tcPr>
          <w:p w:rsidR="00D374CC" w:rsidRDefault="00D374CC" w:rsidP="00A96D7E">
            <w:pPr>
              <w:spacing w:after="100" w:line="276" w:lineRule="auto"/>
              <w:jc w:val="both"/>
              <w:rPr>
                <w:sz w:val="20"/>
                <w:szCs w:val="20"/>
              </w:rPr>
            </w:pPr>
          </w:p>
        </w:tc>
        <w:tc>
          <w:tcPr>
            <w:tcW w:w="7786" w:type="dxa"/>
            <w:tcBorders>
              <w:top w:val="single" w:sz="4" w:space="0" w:color="auto"/>
              <w:bottom w:val="nil"/>
            </w:tcBorders>
          </w:tcPr>
          <w:p w:rsidR="009F577D" w:rsidRPr="009F577D" w:rsidRDefault="009F577D" w:rsidP="00A96D7E">
            <w:pPr>
              <w:spacing w:after="100" w:line="276" w:lineRule="auto"/>
              <w:jc w:val="both"/>
              <w:rPr>
                <w:sz w:val="20"/>
                <w:szCs w:val="20"/>
              </w:rPr>
            </w:pPr>
            <w:r w:rsidRPr="009F577D">
              <w:rPr>
                <w:sz w:val="20"/>
                <w:szCs w:val="20"/>
              </w:rPr>
              <w:t>Promover a qualidade ambiental, urbanística e paisagística dos centros urbanos enquanto fatores de estruturação territorial, de bem-estar e de competitividade regional;</w:t>
            </w:r>
          </w:p>
          <w:p w:rsidR="009F577D" w:rsidRPr="009F577D" w:rsidRDefault="009F577D" w:rsidP="00A96D7E">
            <w:pPr>
              <w:spacing w:after="100" w:line="276" w:lineRule="auto"/>
              <w:jc w:val="both"/>
              <w:rPr>
                <w:sz w:val="20"/>
                <w:szCs w:val="20"/>
              </w:rPr>
            </w:pPr>
            <w:r w:rsidRPr="009F577D">
              <w:rPr>
                <w:sz w:val="20"/>
                <w:szCs w:val="20"/>
              </w:rPr>
              <w:t>Reabilitação e</w:t>
            </w:r>
            <w:r w:rsidR="007C5B61">
              <w:rPr>
                <w:sz w:val="20"/>
                <w:szCs w:val="20"/>
              </w:rPr>
              <w:t xml:space="preserve"> qualificação do espaço público e r</w:t>
            </w:r>
            <w:r w:rsidRPr="009F577D">
              <w:rPr>
                <w:sz w:val="20"/>
                <w:szCs w:val="20"/>
              </w:rPr>
              <w:t>eabilitação integral de edifícios desde que inserida na reabilitação da envolvente;</w:t>
            </w:r>
          </w:p>
          <w:p w:rsidR="00D374CC" w:rsidRPr="009F577D" w:rsidRDefault="009F577D" w:rsidP="00A96D7E">
            <w:pPr>
              <w:spacing w:after="100" w:line="276" w:lineRule="auto"/>
              <w:jc w:val="both"/>
              <w:rPr>
                <w:sz w:val="20"/>
                <w:szCs w:val="20"/>
              </w:rPr>
            </w:pPr>
            <w:r w:rsidRPr="009F577D">
              <w:rPr>
                <w:sz w:val="20"/>
                <w:szCs w:val="20"/>
              </w:rPr>
              <w:t>Valorização patri</w:t>
            </w:r>
            <w:r w:rsidR="007C5B61">
              <w:rPr>
                <w:sz w:val="20"/>
                <w:szCs w:val="20"/>
              </w:rPr>
              <w:t>monial e infraestruturas verdes bem como r</w:t>
            </w:r>
            <w:r w:rsidRPr="009F577D">
              <w:rPr>
                <w:sz w:val="20"/>
                <w:szCs w:val="20"/>
              </w:rPr>
              <w:t>eformulação do sistema viário, favorecendo a pedonalização e a bicicleta;</w:t>
            </w:r>
          </w:p>
          <w:p w:rsidR="009F577D" w:rsidRPr="009F577D" w:rsidRDefault="009F577D" w:rsidP="00A96D7E">
            <w:pPr>
              <w:spacing w:after="100" w:line="276" w:lineRule="auto"/>
              <w:jc w:val="both"/>
              <w:rPr>
                <w:sz w:val="20"/>
                <w:szCs w:val="20"/>
              </w:rPr>
            </w:pPr>
            <w:r w:rsidRPr="009F577D">
              <w:rPr>
                <w:sz w:val="20"/>
                <w:szCs w:val="20"/>
              </w:rPr>
              <w:t>Reabilitação integral de edifícios para equipamento público, habitação, …</w:t>
            </w:r>
            <w:r w:rsidR="007C5B61">
              <w:rPr>
                <w:sz w:val="20"/>
                <w:szCs w:val="20"/>
              </w:rPr>
              <w:t xml:space="preserve"> e r</w:t>
            </w:r>
            <w:r w:rsidRPr="009F577D">
              <w:rPr>
                <w:sz w:val="20"/>
                <w:szCs w:val="20"/>
              </w:rPr>
              <w:t>eabilitação e reconversão de unidades industriais abandonadas para serviços;</w:t>
            </w:r>
          </w:p>
          <w:p w:rsidR="00D46941" w:rsidRDefault="00F31675" w:rsidP="00A96D7E">
            <w:pPr>
              <w:spacing w:after="100" w:line="276" w:lineRule="auto"/>
              <w:jc w:val="both"/>
              <w:rPr>
                <w:sz w:val="20"/>
                <w:szCs w:val="20"/>
              </w:rPr>
            </w:pPr>
            <w:r>
              <w:rPr>
                <w:sz w:val="20"/>
                <w:szCs w:val="20"/>
              </w:rPr>
              <w:t>Aumentar o caráter identitário e referenciador desta área central da vila, promovendo a partilha e convivência de dois tempos (passado e presente) reflexo de abordagens territoriais distintas;</w:t>
            </w:r>
          </w:p>
          <w:p w:rsidR="00343016" w:rsidRDefault="00F31675" w:rsidP="00A96D7E">
            <w:pPr>
              <w:spacing w:after="100" w:line="276" w:lineRule="auto"/>
              <w:jc w:val="both"/>
              <w:rPr>
                <w:sz w:val="20"/>
                <w:szCs w:val="20"/>
              </w:rPr>
            </w:pPr>
            <w:r>
              <w:rPr>
                <w:sz w:val="20"/>
                <w:szCs w:val="20"/>
              </w:rPr>
              <w:t>Beneficiar a relação entre o parque de Selho e a denominada “área central do centro cívico”, afirmando um contínuo verde e presença de antigos caminhos rurais;</w:t>
            </w:r>
          </w:p>
          <w:p w:rsidR="00D46941" w:rsidRDefault="00F31675" w:rsidP="00A96D7E">
            <w:pPr>
              <w:spacing w:after="100" w:line="276" w:lineRule="auto"/>
              <w:jc w:val="both"/>
              <w:rPr>
                <w:sz w:val="20"/>
                <w:szCs w:val="20"/>
              </w:rPr>
            </w:pPr>
            <w:r>
              <w:rPr>
                <w:sz w:val="20"/>
                <w:szCs w:val="20"/>
              </w:rPr>
              <w:t>Agregar e reabilitar áreas de equipamentos, lazer e comércio, promovendo a ampliação e requalificação do espaço público como elemento ligante de toda esta área urbana;</w:t>
            </w:r>
          </w:p>
          <w:p w:rsidR="00343016" w:rsidRDefault="00F31675" w:rsidP="00A96D7E">
            <w:pPr>
              <w:spacing w:after="100" w:line="276" w:lineRule="auto"/>
              <w:jc w:val="both"/>
              <w:rPr>
                <w:sz w:val="20"/>
                <w:szCs w:val="20"/>
              </w:rPr>
            </w:pPr>
            <w:r>
              <w:rPr>
                <w:sz w:val="20"/>
                <w:szCs w:val="20"/>
              </w:rPr>
              <w:t>Reordenar a área em causa do ponto de vista viário, racionalizando e rentabilizando a circulação automóvel e introduzindo condições para a circulação pedonal e ciclável qualificada, segurança e conforto;</w:t>
            </w:r>
          </w:p>
          <w:p w:rsidR="00343016" w:rsidRDefault="00F31675" w:rsidP="00A96D7E">
            <w:pPr>
              <w:spacing w:after="100" w:line="276" w:lineRule="auto"/>
              <w:jc w:val="both"/>
              <w:rPr>
                <w:sz w:val="20"/>
                <w:szCs w:val="20"/>
              </w:rPr>
            </w:pPr>
            <w:r>
              <w:rPr>
                <w:sz w:val="20"/>
                <w:szCs w:val="20"/>
              </w:rPr>
              <w:t>Reestruturação do jardim e áreas adjacentes à igreja e casa de Armindo da Cunha Guimarães, outrora exemplar relevante de arte nova, integrando quer o respetivo logradouro, quer o próprio edifício na vida quotidiana da vila;</w:t>
            </w:r>
          </w:p>
          <w:p w:rsidR="00F31675" w:rsidRDefault="00D1717E" w:rsidP="00A96D7E">
            <w:pPr>
              <w:spacing w:after="100" w:line="276" w:lineRule="auto"/>
              <w:jc w:val="both"/>
              <w:rPr>
                <w:sz w:val="20"/>
                <w:szCs w:val="20"/>
              </w:rPr>
            </w:pPr>
            <w:r>
              <w:rPr>
                <w:sz w:val="20"/>
                <w:szCs w:val="20"/>
              </w:rPr>
              <w:t>Unificação pedonal de grandes áreas de uso público, nomeadamente jardins e adro da igreja, incrementando segurança e conforto pedonal e maior utilização comunitária;</w:t>
            </w:r>
          </w:p>
          <w:p w:rsidR="00343016" w:rsidRDefault="00D1717E" w:rsidP="00A96D7E">
            <w:pPr>
              <w:spacing w:after="100" w:line="276" w:lineRule="auto"/>
              <w:jc w:val="both"/>
              <w:rPr>
                <w:sz w:val="20"/>
                <w:szCs w:val="20"/>
              </w:rPr>
            </w:pPr>
            <w:r>
              <w:rPr>
                <w:sz w:val="20"/>
                <w:szCs w:val="20"/>
              </w:rPr>
              <w:t>Refuncionalização e reabilitação de “bens da arqueologia industrial” para funções relevantes.</w:t>
            </w:r>
          </w:p>
          <w:p w:rsidR="00A96D7E" w:rsidRDefault="00A96D7E" w:rsidP="007C5B61">
            <w:pPr>
              <w:spacing w:after="100" w:line="276" w:lineRule="auto"/>
              <w:jc w:val="both"/>
              <w:rPr>
                <w:sz w:val="20"/>
                <w:szCs w:val="20"/>
              </w:rPr>
            </w:pPr>
          </w:p>
          <w:p w:rsidR="007C5B61" w:rsidRDefault="007C5B61" w:rsidP="007C5B61">
            <w:pPr>
              <w:spacing w:after="100" w:line="276" w:lineRule="auto"/>
              <w:jc w:val="both"/>
              <w:rPr>
                <w:sz w:val="20"/>
                <w:szCs w:val="20"/>
              </w:rPr>
            </w:pPr>
          </w:p>
        </w:tc>
      </w:tr>
      <w:tr w:rsidR="00D374CC" w:rsidTr="0064437C">
        <w:trPr>
          <w:trHeight w:val="130"/>
        </w:trPr>
        <w:tc>
          <w:tcPr>
            <w:tcW w:w="8412" w:type="dxa"/>
            <w:gridSpan w:val="3"/>
            <w:tcBorders>
              <w:top w:val="nil"/>
              <w:bottom w:val="single" w:sz="4" w:space="0" w:color="auto"/>
            </w:tcBorders>
          </w:tcPr>
          <w:p w:rsidR="00D374CC" w:rsidRPr="00DB2A61" w:rsidRDefault="00D374CC" w:rsidP="00A96D7E">
            <w:pPr>
              <w:spacing w:after="100" w:line="276" w:lineRule="auto"/>
              <w:jc w:val="both"/>
              <w:rPr>
                <w:b/>
                <w:sz w:val="20"/>
                <w:szCs w:val="20"/>
              </w:rPr>
            </w:pPr>
            <w:r>
              <w:rPr>
                <w:b/>
                <w:sz w:val="20"/>
                <w:szCs w:val="20"/>
              </w:rPr>
              <w:lastRenderedPageBreak/>
              <w:t>BREVE DESCRIÇÃO DE BENEFÍCIOS FISCAIS PASSÍVEIS DE APLICAÇÃO</w:t>
            </w:r>
          </w:p>
        </w:tc>
      </w:tr>
      <w:tr w:rsidR="00D374CC" w:rsidTr="0064437C">
        <w:trPr>
          <w:trHeight w:val="1254"/>
        </w:trPr>
        <w:tc>
          <w:tcPr>
            <w:tcW w:w="566" w:type="dxa"/>
            <w:tcBorders>
              <w:top w:val="single" w:sz="4" w:space="0" w:color="auto"/>
            </w:tcBorders>
          </w:tcPr>
          <w:p w:rsidR="00D374CC" w:rsidRDefault="00D374CC" w:rsidP="00A96D7E">
            <w:pPr>
              <w:spacing w:after="100" w:line="276" w:lineRule="auto"/>
              <w:jc w:val="both"/>
              <w:rPr>
                <w:sz w:val="20"/>
                <w:szCs w:val="20"/>
              </w:rPr>
            </w:pPr>
          </w:p>
        </w:tc>
        <w:tc>
          <w:tcPr>
            <w:tcW w:w="7846" w:type="dxa"/>
            <w:gridSpan w:val="2"/>
            <w:tcBorders>
              <w:top w:val="single" w:sz="4" w:space="0" w:color="auto"/>
            </w:tcBorders>
          </w:tcPr>
          <w:p w:rsidR="00EA04D2" w:rsidRPr="00EA04D2" w:rsidRDefault="00EA04D2" w:rsidP="00A96D7E">
            <w:pPr>
              <w:spacing w:after="100" w:line="276" w:lineRule="auto"/>
              <w:jc w:val="both"/>
              <w:rPr>
                <w:sz w:val="20"/>
                <w:szCs w:val="20"/>
              </w:rPr>
            </w:pPr>
            <w:r>
              <w:rPr>
                <w:sz w:val="20"/>
                <w:szCs w:val="20"/>
              </w:rPr>
              <w:t xml:space="preserve">Sem prejuízo do desenvolvimento e aprofundamento dos benefícios fiscais a fixar, nomeadamente o detalhe dos critérios técnicos do cálculo e valorização do investimento – à luz do realizado para as duas áreas de reabilitação urbana em vigor - (situação a realizar até à conclusão da proposta de delimitação e aprovação da área de reabilitação urbana, fixa-se (em função do </w:t>
            </w:r>
            <w:r w:rsidRPr="00EA04D2">
              <w:rPr>
                <w:sz w:val="20"/>
                <w:szCs w:val="20"/>
              </w:rPr>
              <w:t>enquadr</w:t>
            </w:r>
            <w:r>
              <w:rPr>
                <w:sz w:val="20"/>
                <w:szCs w:val="20"/>
              </w:rPr>
              <w:t>amento conferido</w:t>
            </w:r>
            <w:r w:rsidRPr="00EA04D2">
              <w:rPr>
                <w:sz w:val="20"/>
                <w:szCs w:val="20"/>
              </w:rPr>
              <w:t xml:space="preserve"> pelo normativo legal em vigor, nomeadamente referente aos estatutos de B</w:t>
            </w:r>
            <w:r>
              <w:rPr>
                <w:sz w:val="20"/>
                <w:szCs w:val="20"/>
              </w:rPr>
              <w:t xml:space="preserve">enefícios Fiscais (EBF) e RJRU) </w:t>
            </w:r>
            <w:r w:rsidRPr="00EA04D2">
              <w:rPr>
                <w:sz w:val="20"/>
                <w:szCs w:val="20"/>
              </w:rPr>
              <w:t>um conjunto de benefícios fiscais que deverão ser aplicados quando se observe:</w:t>
            </w:r>
          </w:p>
          <w:p w:rsidR="00EA04D2" w:rsidRPr="00EA04D2" w:rsidRDefault="00EA04D2" w:rsidP="00A96D7E">
            <w:pPr>
              <w:pStyle w:val="PargrafodaLista"/>
              <w:numPr>
                <w:ilvl w:val="0"/>
                <w:numId w:val="15"/>
              </w:numPr>
              <w:spacing w:after="100" w:line="276" w:lineRule="auto"/>
              <w:jc w:val="both"/>
              <w:rPr>
                <w:sz w:val="20"/>
                <w:szCs w:val="20"/>
              </w:rPr>
            </w:pPr>
            <w:r w:rsidRPr="00EA04D2">
              <w:rPr>
                <w:sz w:val="20"/>
                <w:szCs w:val="20"/>
              </w:rPr>
              <w:t>Uma efetiva ação de reabilitação comprovada pelo Município generalizada a toda a estrutura edificada e contributiva para a concretização dos objetivos da presente ARU;</w:t>
            </w:r>
          </w:p>
          <w:p w:rsidR="00EA04D2" w:rsidRDefault="00EA04D2" w:rsidP="00A96D7E">
            <w:pPr>
              <w:pStyle w:val="PargrafodaLista"/>
              <w:numPr>
                <w:ilvl w:val="0"/>
                <w:numId w:val="15"/>
              </w:numPr>
              <w:spacing w:after="100" w:line="276" w:lineRule="auto"/>
              <w:jc w:val="both"/>
              <w:rPr>
                <w:sz w:val="20"/>
                <w:szCs w:val="20"/>
              </w:rPr>
            </w:pPr>
            <w:r w:rsidRPr="00EA04D2">
              <w:rPr>
                <w:sz w:val="20"/>
                <w:szCs w:val="20"/>
              </w:rPr>
              <w:t>Uma parcial ação de reabilitação comprovada pelo Município sobre a estrutura edificada existente e contributiva para a concretização dos objetivos da presente ARU;</w:t>
            </w:r>
          </w:p>
          <w:p w:rsidR="00EA04D2" w:rsidRDefault="00EA04D2" w:rsidP="00A96D7E">
            <w:pPr>
              <w:pStyle w:val="PargrafodaLista"/>
              <w:numPr>
                <w:ilvl w:val="0"/>
                <w:numId w:val="15"/>
              </w:numPr>
              <w:spacing w:after="100" w:line="276" w:lineRule="auto"/>
              <w:jc w:val="both"/>
              <w:rPr>
                <w:sz w:val="20"/>
                <w:szCs w:val="20"/>
              </w:rPr>
            </w:pPr>
            <w:r w:rsidRPr="00EA04D2">
              <w:rPr>
                <w:sz w:val="20"/>
                <w:szCs w:val="20"/>
              </w:rPr>
              <w:t>A adoção de materiais e soluções construtivas “ambientalmente mais eficazes e inovadores”;</w:t>
            </w:r>
          </w:p>
          <w:p w:rsidR="00EA04D2" w:rsidRPr="00EA04D2" w:rsidRDefault="00EA04D2" w:rsidP="00A96D7E">
            <w:pPr>
              <w:pStyle w:val="PargrafodaLista"/>
              <w:numPr>
                <w:ilvl w:val="0"/>
                <w:numId w:val="15"/>
              </w:numPr>
              <w:spacing w:after="100" w:line="276" w:lineRule="auto"/>
              <w:jc w:val="both"/>
              <w:rPr>
                <w:sz w:val="20"/>
                <w:szCs w:val="20"/>
              </w:rPr>
            </w:pPr>
            <w:r w:rsidRPr="00EA04D2">
              <w:rPr>
                <w:sz w:val="20"/>
                <w:szCs w:val="20"/>
              </w:rPr>
              <w:t>A alteração e reconversão funcional do edificado de funções menos qualificadoras do ambiente urbano (indústrias, armazéns geradores de ruído, perturbação viária, …) para habitação (e fixação, ainda que parcial, de pessoas) ou atividade económica de proximidade como comércio e / ou serviços;</w:t>
            </w:r>
          </w:p>
          <w:p w:rsidR="00EA04D2" w:rsidRPr="00EA04D2" w:rsidRDefault="00EA04D2" w:rsidP="00A96D7E">
            <w:pPr>
              <w:spacing w:after="100" w:line="276" w:lineRule="auto"/>
              <w:jc w:val="both"/>
              <w:rPr>
                <w:sz w:val="20"/>
                <w:szCs w:val="20"/>
              </w:rPr>
            </w:pPr>
            <w:r w:rsidRPr="00EA04D2">
              <w:rPr>
                <w:sz w:val="20"/>
                <w:szCs w:val="20"/>
              </w:rPr>
              <w:t>Exceto o ponto 2, que deverá ser objeto de redução proporcional entre a área reabilitada e a área total do edifício e o ponto 3 que se afigura “qualificador” e não “operativo”, fixa-se como benefícios fiscais:</w:t>
            </w:r>
          </w:p>
          <w:p w:rsidR="00EA04D2" w:rsidRPr="00EA04D2" w:rsidRDefault="00EA04D2" w:rsidP="00A96D7E">
            <w:pPr>
              <w:pStyle w:val="PargrafodaLista"/>
              <w:numPr>
                <w:ilvl w:val="0"/>
                <w:numId w:val="16"/>
              </w:numPr>
              <w:spacing w:after="100" w:line="276" w:lineRule="auto"/>
              <w:jc w:val="both"/>
              <w:rPr>
                <w:sz w:val="20"/>
                <w:szCs w:val="20"/>
              </w:rPr>
            </w:pPr>
            <w:r w:rsidRPr="00EA04D2">
              <w:rPr>
                <w:sz w:val="20"/>
                <w:szCs w:val="20"/>
              </w:rPr>
              <w:t>A redução, até ao limite da eventual isenção, do imposto municipal de imóveis (IMI) até cinco anos após a ação de reabilitação (inclusive);´</w:t>
            </w:r>
          </w:p>
          <w:p w:rsidR="00EA04D2" w:rsidRDefault="00EA04D2" w:rsidP="00A96D7E">
            <w:pPr>
              <w:pStyle w:val="PargrafodaLista"/>
              <w:numPr>
                <w:ilvl w:val="0"/>
                <w:numId w:val="16"/>
              </w:numPr>
              <w:spacing w:after="100" w:line="276" w:lineRule="auto"/>
              <w:jc w:val="both"/>
              <w:rPr>
                <w:sz w:val="20"/>
                <w:szCs w:val="20"/>
              </w:rPr>
            </w:pPr>
            <w:r w:rsidRPr="00EA04D2">
              <w:rPr>
                <w:sz w:val="20"/>
                <w:szCs w:val="20"/>
              </w:rPr>
              <w:t>A redução, até ao limite da eventual isenção, do imposto municipal de imóvel (IMI) isenção, do imposto municipal de transações (IMT) no que se refere à primeira transmissão após a ação de reabilitação;</w:t>
            </w:r>
          </w:p>
          <w:p w:rsidR="00EA04D2" w:rsidRPr="00EA04D2" w:rsidRDefault="00EA04D2" w:rsidP="00A96D7E">
            <w:pPr>
              <w:pStyle w:val="PargrafodaLista"/>
              <w:numPr>
                <w:ilvl w:val="0"/>
                <w:numId w:val="16"/>
              </w:numPr>
              <w:spacing w:after="100" w:line="276" w:lineRule="auto"/>
              <w:jc w:val="both"/>
              <w:rPr>
                <w:sz w:val="20"/>
                <w:szCs w:val="20"/>
              </w:rPr>
            </w:pPr>
            <w:r w:rsidRPr="00EA04D2">
              <w:rPr>
                <w:sz w:val="20"/>
                <w:szCs w:val="20"/>
              </w:rPr>
              <w:t>A redução da taxa do imposto de valor acrescentado (IVA) para 6 % em empreitadas de reabilitação.</w:t>
            </w:r>
          </w:p>
          <w:p w:rsidR="00EA04D2" w:rsidRDefault="00EA04D2" w:rsidP="00A96D7E">
            <w:pPr>
              <w:spacing w:after="100" w:line="276" w:lineRule="auto"/>
              <w:jc w:val="both"/>
              <w:rPr>
                <w:sz w:val="20"/>
                <w:szCs w:val="20"/>
              </w:rPr>
            </w:pPr>
            <w:r w:rsidRPr="00EA04D2">
              <w:rPr>
                <w:sz w:val="20"/>
                <w:szCs w:val="20"/>
              </w:rPr>
              <w:t>Igualmente, e como complemento aos benefícios fiscais identificados, fixa-se também a redução da taxa administrativa e da taxa de urbanização em 50 % nos processos inerentes a ações de reabilitação realizadas dentro da presente ARU que recorram a materiais e soluções construtivas “ambientalmente mais eficazes e inovadores”.</w:t>
            </w:r>
          </w:p>
        </w:tc>
      </w:tr>
    </w:tbl>
    <w:p w:rsidR="00A96D7E" w:rsidRDefault="00A96D7E" w:rsidP="00A96D7E">
      <w:pPr>
        <w:spacing w:after="100" w:line="276" w:lineRule="auto"/>
        <w:ind w:left="142"/>
        <w:jc w:val="both"/>
        <w:rPr>
          <w:sz w:val="20"/>
          <w:szCs w:val="20"/>
        </w:rPr>
      </w:pPr>
    </w:p>
    <w:p w:rsidR="007C5B61" w:rsidRDefault="007C5B61" w:rsidP="00A96D7E">
      <w:pPr>
        <w:spacing w:after="100" w:line="276" w:lineRule="auto"/>
        <w:ind w:left="142"/>
        <w:jc w:val="both"/>
        <w:rPr>
          <w:sz w:val="20"/>
          <w:szCs w:val="20"/>
        </w:rPr>
      </w:pPr>
    </w:p>
    <w:p w:rsidR="007C5B61" w:rsidRDefault="007C5B61" w:rsidP="00A96D7E">
      <w:pPr>
        <w:spacing w:after="100" w:line="276" w:lineRule="auto"/>
        <w:ind w:left="142"/>
        <w:jc w:val="both"/>
        <w:rPr>
          <w:sz w:val="20"/>
          <w:szCs w:val="20"/>
        </w:rPr>
      </w:pPr>
    </w:p>
    <w:tbl>
      <w:tblPr>
        <w:tblStyle w:val="Tabelacomgrelha"/>
        <w:tblW w:w="8321"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3"/>
        <w:gridCol w:w="7698"/>
        <w:gridCol w:w="60"/>
      </w:tblGrid>
      <w:tr w:rsidR="00EA04D2" w:rsidRPr="00DB2A61" w:rsidTr="004769E7">
        <w:trPr>
          <w:trHeight w:val="278"/>
        </w:trPr>
        <w:tc>
          <w:tcPr>
            <w:tcW w:w="8321" w:type="dxa"/>
            <w:gridSpan w:val="3"/>
            <w:tcBorders>
              <w:top w:val="nil"/>
              <w:bottom w:val="single" w:sz="4" w:space="0" w:color="auto"/>
            </w:tcBorders>
          </w:tcPr>
          <w:p w:rsidR="00EA04D2" w:rsidRPr="00DB2A61" w:rsidRDefault="00EA04D2" w:rsidP="00A96D7E">
            <w:pPr>
              <w:spacing w:after="100" w:line="276" w:lineRule="auto"/>
              <w:jc w:val="both"/>
              <w:rPr>
                <w:b/>
                <w:sz w:val="20"/>
                <w:szCs w:val="20"/>
              </w:rPr>
            </w:pPr>
            <w:r>
              <w:rPr>
                <w:b/>
                <w:sz w:val="20"/>
                <w:szCs w:val="20"/>
              </w:rPr>
              <w:lastRenderedPageBreak/>
              <w:t>(ALGUNS) INVESTIMENTOS REALIZADOS | A REALIZAR</w:t>
            </w:r>
          </w:p>
        </w:tc>
      </w:tr>
      <w:tr w:rsidR="00EA04D2" w:rsidTr="004769E7">
        <w:trPr>
          <w:trHeight w:val="133"/>
        </w:trPr>
        <w:tc>
          <w:tcPr>
            <w:tcW w:w="563" w:type="dxa"/>
            <w:tcBorders>
              <w:top w:val="single" w:sz="4" w:space="0" w:color="auto"/>
              <w:bottom w:val="nil"/>
            </w:tcBorders>
          </w:tcPr>
          <w:p w:rsidR="00EA04D2" w:rsidRDefault="00EA04D2" w:rsidP="00A96D7E">
            <w:pPr>
              <w:spacing w:after="100" w:line="276" w:lineRule="auto"/>
              <w:jc w:val="both"/>
              <w:rPr>
                <w:sz w:val="20"/>
                <w:szCs w:val="20"/>
              </w:rPr>
            </w:pPr>
          </w:p>
        </w:tc>
        <w:tc>
          <w:tcPr>
            <w:tcW w:w="7757" w:type="dxa"/>
            <w:gridSpan w:val="2"/>
            <w:tcBorders>
              <w:top w:val="single" w:sz="4" w:space="0" w:color="auto"/>
              <w:bottom w:val="nil"/>
            </w:tcBorders>
          </w:tcPr>
          <w:p w:rsidR="00B36393" w:rsidRDefault="00B36393" w:rsidP="00A96D7E">
            <w:pPr>
              <w:spacing w:after="100" w:line="276" w:lineRule="auto"/>
              <w:jc w:val="both"/>
              <w:rPr>
                <w:sz w:val="20"/>
                <w:szCs w:val="20"/>
              </w:rPr>
            </w:pPr>
            <w:r>
              <w:rPr>
                <w:sz w:val="20"/>
                <w:szCs w:val="20"/>
              </w:rPr>
              <w:t xml:space="preserve">Sem prejuízo da identificação de outros </w:t>
            </w:r>
            <w:r w:rsidR="00284201">
              <w:rPr>
                <w:sz w:val="20"/>
                <w:szCs w:val="20"/>
              </w:rPr>
              <w:t>investimentos |</w:t>
            </w:r>
            <w:r>
              <w:rPr>
                <w:sz w:val="20"/>
                <w:szCs w:val="20"/>
              </w:rPr>
              <w:t xml:space="preserve"> intervenções que, por força do contexto e da alavancagem que a área de reabilitação urbana gerará, identificam-se algumas intervenções que se entendem de fixar e necessárias:</w:t>
            </w:r>
          </w:p>
          <w:p w:rsidR="00D1717E" w:rsidRPr="00D1717E" w:rsidRDefault="00AB48F2" w:rsidP="00A96D7E">
            <w:pPr>
              <w:pStyle w:val="PargrafodaLista"/>
              <w:numPr>
                <w:ilvl w:val="0"/>
                <w:numId w:val="17"/>
              </w:numPr>
              <w:spacing w:after="100" w:line="276" w:lineRule="auto"/>
              <w:jc w:val="both"/>
              <w:rPr>
                <w:sz w:val="20"/>
                <w:szCs w:val="20"/>
              </w:rPr>
            </w:pPr>
            <w:r>
              <w:rPr>
                <w:sz w:val="20"/>
                <w:szCs w:val="20"/>
              </w:rPr>
              <w:t>Reabilitação e requalificação do espaço p</w:t>
            </w:r>
            <w:r w:rsidR="00D1717E">
              <w:rPr>
                <w:sz w:val="20"/>
                <w:szCs w:val="20"/>
              </w:rPr>
              <w:t xml:space="preserve">úblico: </w:t>
            </w:r>
            <w:r w:rsidR="00D1717E" w:rsidRPr="00D1717E">
              <w:rPr>
                <w:sz w:val="20"/>
                <w:szCs w:val="20"/>
              </w:rPr>
              <w:t>Ampliação do jardim central da vila;</w:t>
            </w:r>
            <w:r w:rsidR="00D1717E">
              <w:rPr>
                <w:sz w:val="20"/>
                <w:szCs w:val="20"/>
              </w:rPr>
              <w:t xml:space="preserve"> </w:t>
            </w:r>
            <w:r w:rsidR="00D1717E" w:rsidRPr="00D1717E">
              <w:rPr>
                <w:sz w:val="20"/>
                <w:szCs w:val="20"/>
              </w:rPr>
              <w:t>Reabilitação da envolvente à igreja e sua ligaç</w:t>
            </w:r>
            <w:r w:rsidR="00D1717E">
              <w:rPr>
                <w:sz w:val="20"/>
                <w:szCs w:val="20"/>
              </w:rPr>
              <w:t xml:space="preserve">ão ao jardim; </w:t>
            </w:r>
            <w:r w:rsidR="00D1717E" w:rsidRPr="00D1717E">
              <w:rPr>
                <w:sz w:val="20"/>
                <w:szCs w:val="20"/>
              </w:rPr>
              <w:t>Incorporação de terrenos adjacentes ao jardim como espaço público;</w:t>
            </w:r>
            <w:r w:rsidR="00D1717E">
              <w:rPr>
                <w:sz w:val="20"/>
                <w:szCs w:val="20"/>
              </w:rPr>
              <w:t xml:space="preserve"> </w:t>
            </w:r>
            <w:r w:rsidR="00D1717E" w:rsidRPr="00D1717E">
              <w:rPr>
                <w:sz w:val="20"/>
                <w:szCs w:val="20"/>
              </w:rPr>
              <w:t>Ligação ao parque de lazer.</w:t>
            </w:r>
          </w:p>
          <w:p w:rsidR="00AB48F2" w:rsidRPr="00D46941" w:rsidRDefault="00AB48F2" w:rsidP="00A96D7E">
            <w:pPr>
              <w:pStyle w:val="PargrafodaLista"/>
              <w:numPr>
                <w:ilvl w:val="0"/>
                <w:numId w:val="17"/>
              </w:numPr>
              <w:spacing w:after="100" w:line="276" w:lineRule="auto"/>
              <w:jc w:val="both"/>
              <w:rPr>
                <w:sz w:val="20"/>
                <w:szCs w:val="20"/>
              </w:rPr>
            </w:pPr>
            <w:r w:rsidRPr="00D46941">
              <w:rPr>
                <w:sz w:val="20"/>
                <w:szCs w:val="20"/>
              </w:rPr>
              <w:t>Re</w:t>
            </w:r>
            <w:r w:rsidR="00D1717E">
              <w:rPr>
                <w:sz w:val="20"/>
                <w:szCs w:val="20"/>
              </w:rPr>
              <w:t>abilitação do antigo edifício escolar para equipamento / serviços (eventual instalação de escola de música);</w:t>
            </w:r>
          </w:p>
          <w:p w:rsidR="00EA04D2" w:rsidRDefault="00284201" w:rsidP="00A96D7E">
            <w:pPr>
              <w:pStyle w:val="PargrafodaLista"/>
              <w:numPr>
                <w:ilvl w:val="0"/>
                <w:numId w:val="17"/>
              </w:numPr>
              <w:spacing w:after="100" w:line="276" w:lineRule="auto"/>
              <w:jc w:val="both"/>
              <w:rPr>
                <w:sz w:val="20"/>
                <w:szCs w:val="20"/>
              </w:rPr>
            </w:pPr>
            <w:r>
              <w:rPr>
                <w:sz w:val="20"/>
                <w:szCs w:val="20"/>
              </w:rPr>
              <w:t>Re</w:t>
            </w:r>
            <w:r w:rsidR="00D1717E">
              <w:rPr>
                <w:sz w:val="20"/>
                <w:szCs w:val="20"/>
              </w:rPr>
              <w:t>construção do edifício, outrora exemplo de arte nova, para equipamento público, nomeadamente extensão da Biblioteca Municipal Raúl Brandão</w:t>
            </w:r>
            <w:r w:rsidR="00AB48F2">
              <w:rPr>
                <w:sz w:val="20"/>
                <w:szCs w:val="20"/>
              </w:rPr>
              <w:t>;</w:t>
            </w:r>
          </w:p>
          <w:p w:rsidR="00D1717E" w:rsidRPr="00D1717E" w:rsidRDefault="00D46941" w:rsidP="00A96D7E">
            <w:pPr>
              <w:pStyle w:val="PargrafodaLista"/>
              <w:numPr>
                <w:ilvl w:val="0"/>
                <w:numId w:val="17"/>
              </w:numPr>
              <w:spacing w:after="100" w:line="276" w:lineRule="auto"/>
              <w:jc w:val="both"/>
              <w:rPr>
                <w:sz w:val="20"/>
                <w:szCs w:val="20"/>
              </w:rPr>
            </w:pPr>
            <w:r>
              <w:rPr>
                <w:sz w:val="20"/>
                <w:szCs w:val="20"/>
              </w:rPr>
              <w:t xml:space="preserve">Reabilitação </w:t>
            </w:r>
            <w:r w:rsidR="00D1717E">
              <w:rPr>
                <w:sz w:val="20"/>
                <w:szCs w:val="20"/>
              </w:rPr>
              <w:t>de exemplares de “arqueologia industrial” (por exemplo, antiga indústria Tarf) e respetiva refuncionalização para programas fomentadores de urbanidade e apoio à economia – incubadora de empresas, bem como r</w:t>
            </w:r>
            <w:r w:rsidR="00D1717E" w:rsidRPr="00D1717E">
              <w:rPr>
                <w:sz w:val="20"/>
                <w:szCs w:val="20"/>
              </w:rPr>
              <w:t>eabilitação e requalificação do edifício industrial designado como “Moinho do Buraco”;</w:t>
            </w:r>
          </w:p>
          <w:p w:rsidR="00D1717E" w:rsidRDefault="00D1717E" w:rsidP="00A96D7E">
            <w:pPr>
              <w:pStyle w:val="PargrafodaLista"/>
              <w:numPr>
                <w:ilvl w:val="0"/>
                <w:numId w:val="17"/>
              </w:numPr>
              <w:spacing w:after="100" w:line="276" w:lineRule="auto"/>
              <w:jc w:val="both"/>
              <w:rPr>
                <w:sz w:val="20"/>
                <w:szCs w:val="20"/>
              </w:rPr>
            </w:pPr>
            <w:r>
              <w:rPr>
                <w:sz w:val="20"/>
                <w:szCs w:val="20"/>
              </w:rPr>
              <w:t>Reordenamento viário dos arruamentos centrais da vila e respetivo reperfilamento</w:t>
            </w:r>
            <w:r w:rsidR="004769E7">
              <w:rPr>
                <w:sz w:val="20"/>
                <w:szCs w:val="20"/>
              </w:rPr>
              <w:t>, favorecendo modos suaves de mobilidade (pedonalização, percursos cicláveis) e aumentando os níveis de conforto e segurança no espaço público</w:t>
            </w:r>
            <w:r>
              <w:rPr>
                <w:sz w:val="20"/>
                <w:szCs w:val="20"/>
              </w:rPr>
              <w:t>;</w:t>
            </w:r>
          </w:p>
          <w:p w:rsidR="004769E7" w:rsidRPr="00A96D7E" w:rsidRDefault="00D1717E" w:rsidP="00E113E0">
            <w:pPr>
              <w:pStyle w:val="PargrafodaLista"/>
              <w:numPr>
                <w:ilvl w:val="0"/>
                <w:numId w:val="17"/>
              </w:numPr>
              <w:spacing w:after="100" w:line="276" w:lineRule="auto"/>
              <w:jc w:val="both"/>
              <w:rPr>
                <w:sz w:val="20"/>
                <w:szCs w:val="20"/>
              </w:rPr>
            </w:pPr>
            <w:r w:rsidRPr="00D1717E">
              <w:rPr>
                <w:sz w:val="20"/>
                <w:szCs w:val="20"/>
              </w:rPr>
              <w:t>Reabilitação do edificado mais antigo, favorecendo o incremento do conforto habi</w:t>
            </w:r>
            <w:r>
              <w:rPr>
                <w:sz w:val="20"/>
                <w:szCs w:val="20"/>
              </w:rPr>
              <w:t>tacional e melhoria construti</w:t>
            </w:r>
            <w:r w:rsidR="00E113E0">
              <w:rPr>
                <w:sz w:val="20"/>
                <w:szCs w:val="20"/>
              </w:rPr>
              <w:t>va, bem como outro investimento</w:t>
            </w:r>
            <w:r>
              <w:rPr>
                <w:sz w:val="20"/>
                <w:szCs w:val="20"/>
              </w:rPr>
              <w:t xml:space="preserve"> que </w:t>
            </w:r>
            <w:r w:rsidR="00E113E0">
              <w:rPr>
                <w:sz w:val="20"/>
                <w:szCs w:val="20"/>
              </w:rPr>
              <w:t>potenci</w:t>
            </w:r>
            <w:r>
              <w:rPr>
                <w:sz w:val="20"/>
                <w:szCs w:val="20"/>
              </w:rPr>
              <w:t>em a alavancagem de investimento, captação de pessoas e bens.</w:t>
            </w:r>
          </w:p>
        </w:tc>
      </w:tr>
      <w:tr w:rsidR="00715F95" w:rsidTr="004769E7">
        <w:trPr>
          <w:trHeight w:val="133"/>
        </w:trPr>
        <w:tc>
          <w:tcPr>
            <w:tcW w:w="563" w:type="dxa"/>
            <w:tcBorders>
              <w:top w:val="nil"/>
              <w:bottom w:val="nil"/>
            </w:tcBorders>
          </w:tcPr>
          <w:p w:rsidR="00715F95" w:rsidRDefault="00715F95" w:rsidP="00A96D7E">
            <w:pPr>
              <w:spacing w:after="100" w:line="276" w:lineRule="auto"/>
              <w:jc w:val="both"/>
              <w:rPr>
                <w:sz w:val="20"/>
                <w:szCs w:val="20"/>
              </w:rPr>
            </w:pPr>
          </w:p>
        </w:tc>
        <w:tc>
          <w:tcPr>
            <w:tcW w:w="7757" w:type="dxa"/>
            <w:gridSpan w:val="2"/>
            <w:tcBorders>
              <w:top w:val="nil"/>
              <w:bottom w:val="nil"/>
            </w:tcBorders>
          </w:tcPr>
          <w:p w:rsidR="00715F95" w:rsidRDefault="00715F95" w:rsidP="00A96D7E">
            <w:pPr>
              <w:spacing w:after="100" w:line="276" w:lineRule="auto"/>
              <w:jc w:val="both"/>
              <w:rPr>
                <w:sz w:val="20"/>
                <w:szCs w:val="20"/>
              </w:rPr>
            </w:pPr>
          </w:p>
        </w:tc>
      </w:tr>
      <w:tr w:rsidR="00EA04D2" w:rsidRPr="00DB2A61" w:rsidTr="004769E7">
        <w:trPr>
          <w:gridAfter w:val="1"/>
          <w:wAfter w:w="59" w:type="dxa"/>
          <w:trHeight w:val="278"/>
        </w:trPr>
        <w:tc>
          <w:tcPr>
            <w:tcW w:w="8262" w:type="dxa"/>
            <w:gridSpan w:val="2"/>
            <w:tcBorders>
              <w:top w:val="nil"/>
              <w:bottom w:val="single" w:sz="4" w:space="0" w:color="auto"/>
            </w:tcBorders>
          </w:tcPr>
          <w:p w:rsidR="00EA04D2" w:rsidRPr="00DB2A61" w:rsidRDefault="00715F95" w:rsidP="00A96D7E">
            <w:pPr>
              <w:spacing w:after="100" w:line="276" w:lineRule="auto"/>
              <w:jc w:val="both"/>
              <w:rPr>
                <w:b/>
                <w:sz w:val="20"/>
                <w:szCs w:val="20"/>
              </w:rPr>
            </w:pPr>
            <w:r>
              <w:rPr>
                <w:b/>
                <w:sz w:val="20"/>
                <w:szCs w:val="20"/>
              </w:rPr>
              <w:t xml:space="preserve">(ALGUNS) PROMOTORES / PARCERIAS DAS INTERVENÇÕES </w:t>
            </w:r>
          </w:p>
        </w:tc>
      </w:tr>
      <w:tr w:rsidR="00EA04D2" w:rsidTr="004769E7">
        <w:trPr>
          <w:gridAfter w:val="1"/>
          <w:wAfter w:w="60" w:type="dxa"/>
          <w:trHeight w:val="1945"/>
        </w:trPr>
        <w:tc>
          <w:tcPr>
            <w:tcW w:w="563" w:type="dxa"/>
            <w:tcBorders>
              <w:top w:val="single" w:sz="4" w:space="0" w:color="auto"/>
              <w:bottom w:val="nil"/>
            </w:tcBorders>
          </w:tcPr>
          <w:p w:rsidR="00EA04D2" w:rsidRPr="00715F95" w:rsidRDefault="00EA04D2" w:rsidP="00A96D7E">
            <w:pPr>
              <w:spacing w:after="100" w:line="276" w:lineRule="auto"/>
              <w:jc w:val="both"/>
              <w:rPr>
                <w:sz w:val="20"/>
                <w:szCs w:val="20"/>
              </w:rPr>
            </w:pPr>
          </w:p>
        </w:tc>
        <w:tc>
          <w:tcPr>
            <w:tcW w:w="7698" w:type="dxa"/>
            <w:tcBorders>
              <w:top w:val="single" w:sz="4" w:space="0" w:color="auto"/>
              <w:bottom w:val="nil"/>
            </w:tcBorders>
          </w:tcPr>
          <w:p w:rsidR="00EA04D2" w:rsidRPr="00715F95" w:rsidRDefault="004769E7" w:rsidP="00A96D7E">
            <w:pPr>
              <w:spacing w:after="100" w:line="276" w:lineRule="auto"/>
              <w:jc w:val="both"/>
              <w:rPr>
                <w:sz w:val="20"/>
                <w:szCs w:val="20"/>
              </w:rPr>
            </w:pPr>
            <w:r>
              <w:rPr>
                <w:sz w:val="20"/>
                <w:szCs w:val="20"/>
              </w:rPr>
              <w:t>C</w:t>
            </w:r>
            <w:r w:rsidR="00715F95" w:rsidRPr="00715F95">
              <w:rPr>
                <w:sz w:val="20"/>
                <w:szCs w:val="20"/>
              </w:rPr>
              <w:t>âmara Municipal de Guimarães</w:t>
            </w:r>
            <w:r w:rsidR="00284201">
              <w:rPr>
                <w:sz w:val="20"/>
                <w:szCs w:val="20"/>
              </w:rPr>
              <w:t>;</w:t>
            </w:r>
          </w:p>
          <w:p w:rsidR="00715F95" w:rsidRPr="00715F95" w:rsidRDefault="00715F95" w:rsidP="00A96D7E">
            <w:pPr>
              <w:spacing w:after="100" w:line="276" w:lineRule="auto"/>
              <w:jc w:val="both"/>
              <w:rPr>
                <w:sz w:val="20"/>
                <w:szCs w:val="20"/>
              </w:rPr>
            </w:pPr>
            <w:r w:rsidRPr="00715F95">
              <w:rPr>
                <w:sz w:val="20"/>
                <w:szCs w:val="20"/>
              </w:rPr>
              <w:t>Administração central</w:t>
            </w:r>
            <w:r w:rsidR="00A96D7E">
              <w:rPr>
                <w:sz w:val="20"/>
                <w:szCs w:val="20"/>
              </w:rPr>
              <w:t xml:space="preserve"> e </w:t>
            </w:r>
            <w:r w:rsidRPr="00715F95">
              <w:rPr>
                <w:sz w:val="20"/>
                <w:szCs w:val="20"/>
              </w:rPr>
              <w:t xml:space="preserve">Junta de Freguesia de </w:t>
            </w:r>
            <w:r w:rsidR="00D1717E">
              <w:rPr>
                <w:sz w:val="20"/>
                <w:szCs w:val="20"/>
              </w:rPr>
              <w:t>S. Jorge de Selho</w:t>
            </w:r>
            <w:r w:rsidR="00284201">
              <w:rPr>
                <w:sz w:val="20"/>
                <w:szCs w:val="20"/>
              </w:rPr>
              <w:t>;</w:t>
            </w:r>
          </w:p>
          <w:p w:rsidR="00AB48F2" w:rsidRPr="00715F95" w:rsidRDefault="00715F95" w:rsidP="00A96D7E">
            <w:pPr>
              <w:spacing w:after="100" w:line="276" w:lineRule="auto"/>
              <w:jc w:val="both"/>
              <w:rPr>
                <w:sz w:val="20"/>
                <w:szCs w:val="20"/>
              </w:rPr>
            </w:pPr>
            <w:r>
              <w:rPr>
                <w:sz w:val="20"/>
                <w:szCs w:val="20"/>
              </w:rPr>
              <w:t xml:space="preserve">Paróquia de </w:t>
            </w:r>
            <w:r w:rsidR="00D1717E">
              <w:rPr>
                <w:sz w:val="20"/>
                <w:szCs w:val="20"/>
              </w:rPr>
              <w:t>S. Jorge de Selho</w:t>
            </w:r>
            <w:r w:rsidR="00A96D7E">
              <w:rPr>
                <w:sz w:val="20"/>
                <w:szCs w:val="20"/>
              </w:rPr>
              <w:t>, e</w:t>
            </w:r>
            <w:r w:rsidRPr="00715F95">
              <w:rPr>
                <w:sz w:val="20"/>
                <w:szCs w:val="20"/>
              </w:rPr>
              <w:t xml:space="preserve">ntidades e Associações locais (Instituições particulares de segurança social, </w:t>
            </w:r>
            <w:r w:rsidR="00AB48F2">
              <w:rPr>
                <w:sz w:val="20"/>
                <w:szCs w:val="20"/>
              </w:rPr>
              <w:t>Escuteiros</w:t>
            </w:r>
            <w:r w:rsidRPr="00715F95">
              <w:rPr>
                <w:sz w:val="20"/>
                <w:szCs w:val="20"/>
              </w:rPr>
              <w:t>…</w:t>
            </w:r>
            <w:r w:rsidR="00284201">
              <w:rPr>
                <w:sz w:val="20"/>
                <w:szCs w:val="20"/>
              </w:rPr>
              <w:t>)</w:t>
            </w:r>
            <w:r w:rsidR="00AB48F2">
              <w:rPr>
                <w:sz w:val="20"/>
                <w:szCs w:val="20"/>
              </w:rPr>
              <w:t>;</w:t>
            </w:r>
          </w:p>
          <w:p w:rsidR="00715F95" w:rsidRDefault="00715F95" w:rsidP="00A96D7E">
            <w:pPr>
              <w:spacing w:after="100" w:line="276" w:lineRule="auto"/>
              <w:jc w:val="both"/>
              <w:rPr>
                <w:sz w:val="20"/>
                <w:szCs w:val="20"/>
              </w:rPr>
            </w:pPr>
            <w:r w:rsidRPr="00715F95">
              <w:rPr>
                <w:sz w:val="20"/>
                <w:szCs w:val="20"/>
              </w:rPr>
              <w:t>Proprietários privados</w:t>
            </w:r>
            <w:r w:rsidR="00284201">
              <w:rPr>
                <w:sz w:val="20"/>
                <w:szCs w:val="20"/>
              </w:rPr>
              <w:t>.</w:t>
            </w:r>
          </w:p>
          <w:p w:rsidR="00EA04D2" w:rsidRPr="00715F95" w:rsidRDefault="00EA04D2" w:rsidP="00A96D7E">
            <w:pPr>
              <w:spacing w:after="100" w:line="276" w:lineRule="auto"/>
              <w:jc w:val="both"/>
              <w:rPr>
                <w:sz w:val="20"/>
                <w:szCs w:val="20"/>
              </w:rPr>
            </w:pPr>
          </w:p>
        </w:tc>
      </w:tr>
    </w:tbl>
    <w:p w:rsidR="00C764B8" w:rsidRPr="00715F95" w:rsidRDefault="009F577D" w:rsidP="00A96D7E">
      <w:pPr>
        <w:spacing w:after="100" w:line="276" w:lineRule="auto"/>
        <w:ind w:left="142"/>
        <w:jc w:val="both"/>
        <w:rPr>
          <w:b/>
          <w:i/>
          <w:sz w:val="20"/>
          <w:szCs w:val="20"/>
        </w:rPr>
      </w:pPr>
      <w:r w:rsidRPr="00715F95">
        <w:rPr>
          <w:b/>
          <w:sz w:val="20"/>
          <w:szCs w:val="20"/>
        </w:rPr>
        <w:t xml:space="preserve">Desenhado como um documento simultaneamente orientador e operativo, acredita-se que a ARU poderá ser um instrumento catalisador do processo de reabilitação, requalificação e afirmação </w:t>
      </w:r>
      <w:r w:rsidR="008B46FF" w:rsidRPr="00715F95">
        <w:rPr>
          <w:b/>
          <w:sz w:val="20"/>
          <w:szCs w:val="20"/>
        </w:rPr>
        <w:t xml:space="preserve">do centro cívico e histórico </w:t>
      </w:r>
      <w:r w:rsidR="00D1717E">
        <w:rPr>
          <w:b/>
          <w:sz w:val="20"/>
          <w:szCs w:val="20"/>
        </w:rPr>
        <w:t>de S. Jorge de Selho</w:t>
      </w:r>
      <w:r w:rsidR="00715F95">
        <w:rPr>
          <w:b/>
          <w:sz w:val="20"/>
          <w:szCs w:val="20"/>
        </w:rPr>
        <w:t>.</w:t>
      </w:r>
    </w:p>
    <w:p w:rsidR="00E97C7F" w:rsidRDefault="00E97C7F" w:rsidP="00A96D7E">
      <w:pPr>
        <w:spacing w:after="100" w:line="276" w:lineRule="auto"/>
        <w:ind w:left="284"/>
        <w:rPr>
          <w:sz w:val="16"/>
          <w:szCs w:val="16"/>
        </w:rPr>
      </w:pPr>
    </w:p>
    <w:tbl>
      <w:tblPr>
        <w:tblStyle w:val="Tabelacomgrelha"/>
        <w:tblW w:w="8532"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4"/>
        <w:gridCol w:w="7958"/>
      </w:tblGrid>
      <w:tr w:rsidR="008B46FF" w:rsidTr="004769E7">
        <w:trPr>
          <w:trHeight w:val="68"/>
        </w:trPr>
        <w:tc>
          <w:tcPr>
            <w:tcW w:w="8532" w:type="dxa"/>
            <w:gridSpan w:val="2"/>
            <w:tcBorders>
              <w:top w:val="nil"/>
              <w:bottom w:val="single" w:sz="4" w:space="0" w:color="auto"/>
            </w:tcBorders>
          </w:tcPr>
          <w:p w:rsidR="008B46FF" w:rsidRPr="00DB2A61" w:rsidRDefault="008B46FF" w:rsidP="00A96D7E">
            <w:pPr>
              <w:spacing w:after="100" w:line="276" w:lineRule="auto"/>
              <w:jc w:val="both"/>
              <w:rPr>
                <w:b/>
                <w:sz w:val="20"/>
                <w:szCs w:val="20"/>
              </w:rPr>
            </w:pPr>
            <w:r>
              <w:rPr>
                <w:b/>
                <w:sz w:val="20"/>
                <w:szCs w:val="20"/>
              </w:rPr>
              <w:t>ANEXO</w:t>
            </w:r>
          </w:p>
        </w:tc>
      </w:tr>
      <w:tr w:rsidR="008B46FF" w:rsidTr="007C5B61">
        <w:trPr>
          <w:trHeight w:val="319"/>
        </w:trPr>
        <w:tc>
          <w:tcPr>
            <w:tcW w:w="574" w:type="dxa"/>
            <w:tcBorders>
              <w:top w:val="single" w:sz="4" w:space="0" w:color="auto"/>
            </w:tcBorders>
          </w:tcPr>
          <w:p w:rsidR="008B46FF" w:rsidRDefault="008B46FF" w:rsidP="00A96D7E">
            <w:pPr>
              <w:spacing w:after="100" w:line="276" w:lineRule="auto"/>
              <w:jc w:val="both"/>
              <w:rPr>
                <w:sz w:val="20"/>
                <w:szCs w:val="20"/>
              </w:rPr>
            </w:pPr>
          </w:p>
        </w:tc>
        <w:tc>
          <w:tcPr>
            <w:tcW w:w="7958" w:type="dxa"/>
            <w:tcBorders>
              <w:top w:val="single" w:sz="4" w:space="0" w:color="auto"/>
            </w:tcBorders>
          </w:tcPr>
          <w:p w:rsidR="008B46FF" w:rsidRDefault="008B46FF" w:rsidP="00A96D7E">
            <w:pPr>
              <w:spacing w:after="100" w:line="276" w:lineRule="auto"/>
              <w:jc w:val="both"/>
              <w:rPr>
                <w:sz w:val="20"/>
                <w:szCs w:val="20"/>
              </w:rPr>
            </w:pPr>
            <w:r w:rsidRPr="008B46FF">
              <w:rPr>
                <w:sz w:val="20"/>
                <w:szCs w:val="20"/>
              </w:rPr>
              <w:t>Planta de delimitação</w:t>
            </w:r>
            <w:r>
              <w:rPr>
                <w:sz w:val="20"/>
                <w:szCs w:val="20"/>
              </w:rPr>
              <w:t xml:space="preserve"> da área de reabilitação urbana agora proposta</w:t>
            </w:r>
            <w:r w:rsidRPr="008B46FF">
              <w:rPr>
                <w:sz w:val="20"/>
                <w:szCs w:val="20"/>
              </w:rPr>
              <w:t>.</w:t>
            </w:r>
          </w:p>
        </w:tc>
      </w:tr>
    </w:tbl>
    <w:p w:rsidR="00133D66" w:rsidRDefault="00133D66" w:rsidP="007C5B61">
      <w:pPr>
        <w:spacing w:after="80" w:line="360" w:lineRule="auto"/>
      </w:pPr>
    </w:p>
    <w:sectPr w:rsidR="00133D66" w:rsidSect="00E55C27">
      <w:headerReference w:type="default" r:id="rId7"/>
      <w:footerReference w:type="default" r:id="rId8"/>
      <w:pgSz w:w="11906" w:h="16838"/>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D8" w:rsidRDefault="005253D8" w:rsidP="00271641">
      <w:pPr>
        <w:spacing w:after="0" w:line="240" w:lineRule="auto"/>
      </w:pPr>
      <w:r>
        <w:separator/>
      </w:r>
    </w:p>
  </w:endnote>
  <w:endnote w:type="continuationSeparator" w:id="0">
    <w:p w:rsidR="005253D8" w:rsidRDefault="005253D8" w:rsidP="0027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24414"/>
      <w:docPartObj>
        <w:docPartGallery w:val="Page Numbers (Bottom of Page)"/>
        <w:docPartUnique/>
      </w:docPartObj>
    </w:sdtPr>
    <w:sdtEndPr>
      <w:rPr>
        <w:sz w:val="12"/>
        <w:szCs w:val="12"/>
      </w:rPr>
    </w:sdtEndPr>
    <w:sdtContent>
      <w:p w:rsidR="00E97C7F" w:rsidRPr="00E97C7F" w:rsidRDefault="00E97C7F">
        <w:pPr>
          <w:pStyle w:val="Rodap"/>
          <w:rPr>
            <w:sz w:val="12"/>
            <w:szCs w:val="12"/>
          </w:rPr>
        </w:pPr>
        <w:r w:rsidRPr="00E97C7F">
          <w:rPr>
            <w:sz w:val="12"/>
            <w:szCs w:val="12"/>
          </w:rPr>
          <w:fldChar w:fldCharType="begin"/>
        </w:r>
        <w:r w:rsidRPr="00E97C7F">
          <w:rPr>
            <w:sz w:val="12"/>
            <w:szCs w:val="12"/>
          </w:rPr>
          <w:instrText>PAGE   \* MERGEFORMAT</w:instrText>
        </w:r>
        <w:r w:rsidRPr="00E97C7F">
          <w:rPr>
            <w:sz w:val="12"/>
            <w:szCs w:val="12"/>
          </w:rPr>
          <w:fldChar w:fldCharType="separate"/>
        </w:r>
        <w:r w:rsidR="00C9723A">
          <w:rPr>
            <w:noProof/>
            <w:sz w:val="12"/>
            <w:szCs w:val="12"/>
          </w:rPr>
          <w:t>4</w:t>
        </w:r>
        <w:r w:rsidRPr="00E97C7F">
          <w:rPr>
            <w:sz w:val="12"/>
            <w:szCs w:val="12"/>
          </w:rPr>
          <w:fldChar w:fldCharType="end"/>
        </w:r>
      </w:p>
    </w:sdtContent>
  </w:sdt>
  <w:p w:rsidR="00E97C7F" w:rsidRDefault="00E97C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D8" w:rsidRDefault="005253D8" w:rsidP="00271641">
      <w:pPr>
        <w:spacing w:after="0" w:line="240" w:lineRule="auto"/>
      </w:pPr>
      <w:r>
        <w:separator/>
      </w:r>
    </w:p>
  </w:footnote>
  <w:footnote w:type="continuationSeparator" w:id="0">
    <w:p w:rsidR="005253D8" w:rsidRDefault="005253D8" w:rsidP="00271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41" w:rsidRDefault="00257998" w:rsidP="00DB2A61">
    <w:pPr>
      <w:pStyle w:val="Cabealho"/>
      <w:ind w:firstLine="142"/>
    </w:pPr>
    <w:r>
      <w:rPr>
        <w:noProof/>
        <w:lang w:eastAsia="pt-PT"/>
      </w:rPr>
      <w:drawing>
        <wp:inline distT="0" distB="0" distL="0" distR="0" wp14:anchorId="4DD91A0A" wp14:editId="612F503A">
          <wp:extent cx="952500" cy="866775"/>
          <wp:effectExtent l="0" t="0" r="0" b="9525"/>
          <wp:docPr id="8" name="Imagem 8"/>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51220" b="37184"/>
                  <a:stretch/>
                </pic:blipFill>
                <pic:spPr bwMode="auto">
                  <a:xfrm>
                    <a:off x="0" y="0"/>
                    <a:ext cx="952500" cy="866775"/>
                  </a:xfrm>
                  <a:prstGeom prst="rect">
                    <a:avLst/>
                  </a:prstGeom>
                  <a:ln>
                    <a:noFill/>
                  </a:ln>
                  <a:extLst>
                    <a:ext uri="{53640926-AAD7-44D8-BBD7-CCE9431645EC}">
                      <a14:shadowObscured xmlns:a14="http://schemas.microsoft.com/office/drawing/2010/main"/>
                    </a:ext>
                  </a:extLst>
                </pic:spPr>
              </pic:pic>
            </a:graphicData>
          </a:graphic>
        </wp:inline>
      </w:drawing>
    </w:r>
  </w:p>
  <w:p w:rsidR="00DB2A61" w:rsidRPr="00DB2A61" w:rsidRDefault="00DB2A61" w:rsidP="00271641">
    <w:pPr>
      <w:pStyle w:val="Cabealho"/>
      <w:ind w:left="142"/>
      <w:rPr>
        <w:b/>
        <w:sz w:val="18"/>
        <w:szCs w:val="18"/>
      </w:rPr>
    </w:pPr>
    <w:r>
      <w:t xml:space="preserve"> </w:t>
    </w:r>
    <w:r w:rsidRPr="00DB2A61">
      <w:rPr>
        <w:b/>
        <w:sz w:val="18"/>
        <w:szCs w:val="18"/>
      </w:rPr>
      <w:t>ÁREA DE REABILITAÇÃO URBANA</w:t>
    </w:r>
  </w:p>
  <w:p w:rsidR="00DB2A61" w:rsidRPr="00DB2A61" w:rsidRDefault="00DB2A61" w:rsidP="00271641">
    <w:pPr>
      <w:pStyle w:val="Cabealho"/>
      <w:ind w:left="142"/>
      <w:rPr>
        <w:b/>
        <w:sz w:val="18"/>
        <w:szCs w:val="18"/>
      </w:rPr>
    </w:pPr>
    <w:r w:rsidRPr="00DB2A61">
      <w:rPr>
        <w:b/>
        <w:sz w:val="18"/>
        <w:szCs w:val="18"/>
      </w:rPr>
      <w:t xml:space="preserve"> MUNICÍPIO DE GUIMARÃES</w:t>
    </w:r>
  </w:p>
  <w:p w:rsidR="00DB2A61" w:rsidRPr="00DB2A61" w:rsidRDefault="00DB2A61" w:rsidP="00271641">
    <w:pPr>
      <w:pStyle w:val="Cabealho"/>
      <w:ind w:left="142"/>
      <w:rPr>
        <w:sz w:val="18"/>
        <w:szCs w:val="18"/>
      </w:rPr>
    </w:pPr>
  </w:p>
  <w:p w:rsidR="00271641" w:rsidRPr="00DB2A61" w:rsidRDefault="00271641" w:rsidP="00271641">
    <w:pPr>
      <w:pStyle w:val="Cabealho"/>
      <w:ind w:left="142"/>
      <w:rPr>
        <w:b/>
        <w:color w:val="FF0000"/>
        <w:sz w:val="18"/>
        <w:szCs w:val="18"/>
      </w:rPr>
    </w:pPr>
    <w:r w:rsidRPr="00DB2A61">
      <w:rPr>
        <w:color w:val="FF0000"/>
        <w:sz w:val="18"/>
        <w:szCs w:val="18"/>
      </w:rPr>
      <w:t xml:space="preserve"> </w:t>
    </w:r>
    <w:r w:rsidR="00DB2A61" w:rsidRPr="00DB2A61">
      <w:rPr>
        <w:b/>
        <w:color w:val="FF0000"/>
        <w:sz w:val="18"/>
        <w:szCs w:val="18"/>
      </w:rPr>
      <w:t>FICHA SÍNTESE</w:t>
    </w:r>
  </w:p>
  <w:p w:rsidR="00DB2A61" w:rsidRPr="00DB2A61" w:rsidRDefault="00DB2A61" w:rsidP="00DB2A61">
    <w:pPr>
      <w:pStyle w:val="Cabealho"/>
      <w:ind w:left="142"/>
      <w:rPr>
        <w:sz w:val="18"/>
        <w:szCs w:val="18"/>
      </w:rPr>
    </w:pPr>
    <w:r w:rsidRPr="00DB2A61">
      <w:rPr>
        <w:sz w:val="18"/>
        <w:szCs w:val="18"/>
      </w:rPr>
      <w:t xml:space="preserve"> PARÂMETROS DE SUPORTE AO DESENVOLVIMENTO DA ARU</w:t>
    </w:r>
  </w:p>
  <w:p w:rsidR="00271641" w:rsidRPr="00DB2A61" w:rsidRDefault="00271641" w:rsidP="00271641">
    <w:pPr>
      <w:pStyle w:val="Cabealho"/>
      <w:ind w:left="142"/>
      <w:rPr>
        <w:sz w:val="18"/>
        <w:szCs w:val="18"/>
      </w:rPr>
    </w:pPr>
    <w:r w:rsidRPr="00DB2A61">
      <w:rPr>
        <w:sz w:val="18"/>
        <w:szCs w:val="18"/>
      </w:rPr>
      <w:t xml:space="preserve"> </w:t>
    </w:r>
    <w:r w:rsidR="00DB2A61" w:rsidRPr="00DB2A61">
      <w:rPr>
        <w:sz w:val="18"/>
        <w:szCs w:val="18"/>
      </w:rPr>
      <w:t>AGOSTO ‘15</w:t>
    </w:r>
  </w:p>
  <w:p w:rsidR="00271641" w:rsidRDefault="00271641" w:rsidP="00E55C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A33B2"/>
    <w:multiLevelType w:val="hybridMultilevel"/>
    <w:tmpl w:val="DB04D07C"/>
    <w:lvl w:ilvl="0" w:tplc="ACF82F44">
      <w:start w:val="1"/>
      <w:numFmt w:val="decimal"/>
      <w:lvlText w:val="%1."/>
      <w:lvlJc w:val="left"/>
      <w:pPr>
        <w:ind w:left="502" w:hanging="360"/>
      </w:pPr>
      <w:rPr>
        <w:rFonts w:ascii="Calibri" w:eastAsiaTheme="minorHAnsi" w:hAnsi="Calibri" w:cs="Calibri"/>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 w15:restartNumberingAfterBreak="0">
    <w:nsid w:val="0D7E4F69"/>
    <w:multiLevelType w:val="hybridMultilevel"/>
    <w:tmpl w:val="2458B75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09A1420"/>
    <w:multiLevelType w:val="hybridMultilevel"/>
    <w:tmpl w:val="F83CB0B0"/>
    <w:lvl w:ilvl="0" w:tplc="0A8ACD42">
      <w:start w:val="1"/>
      <w:numFmt w:val="decimal"/>
      <w:lvlText w:val="%1."/>
      <w:lvlJc w:val="left"/>
      <w:pPr>
        <w:ind w:left="502" w:hanging="360"/>
      </w:pPr>
    </w:lvl>
    <w:lvl w:ilvl="1" w:tplc="08160019">
      <w:start w:val="1"/>
      <w:numFmt w:val="lowerLetter"/>
      <w:lvlText w:val="%2."/>
      <w:lvlJc w:val="left"/>
      <w:pPr>
        <w:ind w:left="1222" w:hanging="360"/>
      </w:pPr>
    </w:lvl>
    <w:lvl w:ilvl="2" w:tplc="0816001B">
      <w:start w:val="1"/>
      <w:numFmt w:val="lowerRoman"/>
      <w:lvlText w:val="%3."/>
      <w:lvlJc w:val="right"/>
      <w:pPr>
        <w:ind w:left="1942" w:hanging="180"/>
      </w:pPr>
    </w:lvl>
    <w:lvl w:ilvl="3" w:tplc="0816000F">
      <w:start w:val="1"/>
      <w:numFmt w:val="decimal"/>
      <w:lvlText w:val="%4."/>
      <w:lvlJc w:val="left"/>
      <w:pPr>
        <w:ind w:left="2662" w:hanging="360"/>
      </w:pPr>
    </w:lvl>
    <w:lvl w:ilvl="4" w:tplc="08160019">
      <w:start w:val="1"/>
      <w:numFmt w:val="lowerLetter"/>
      <w:lvlText w:val="%5."/>
      <w:lvlJc w:val="left"/>
      <w:pPr>
        <w:ind w:left="3382" w:hanging="360"/>
      </w:pPr>
    </w:lvl>
    <w:lvl w:ilvl="5" w:tplc="0816001B">
      <w:start w:val="1"/>
      <w:numFmt w:val="lowerRoman"/>
      <w:lvlText w:val="%6."/>
      <w:lvlJc w:val="right"/>
      <w:pPr>
        <w:ind w:left="4102" w:hanging="180"/>
      </w:pPr>
    </w:lvl>
    <w:lvl w:ilvl="6" w:tplc="0816000F">
      <w:start w:val="1"/>
      <w:numFmt w:val="decimal"/>
      <w:lvlText w:val="%7."/>
      <w:lvlJc w:val="left"/>
      <w:pPr>
        <w:ind w:left="4822" w:hanging="360"/>
      </w:pPr>
    </w:lvl>
    <w:lvl w:ilvl="7" w:tplc="08160019">
      <w:start w:val="1"/>
      <w:numFmt w:val="lowerLetter"/>
      <w:lvlText w:val="%8."/>
      <w:lvlJc w:val="left"/>
      <w:pPr>
        <w:ind w:left="5542" w:hanging="360"/>
      </w:pPr>
    </w:lvl>
    <w:lvl w:ilvl="8" w:tplc="0816001B">
      <w:start w:val="1"/>
      <w:numFmt w:val="lowerRoman"/>
      <w:lvlText w:val="%9."/>
      <w:lvlJc w:val="right"/>
      <w:pPr>
        <w:ind w:left="6262" w:hanging="180"/>
      </w:pPr>
    </w:lvl>
  </w:abstractNum>
  <w:abstractNum w:abstractNumId="3" w15:restartNumberingAfterBreak="0">
    <w:nsid w:val="40507E4A"/>
    <w:multiLevelType w:val="hybridMultilevel"/>
    <w:tmpl w:val="160E7300"/>
    <w:lvl w:ilvl="0" w:tplc="322AC658">
      <w:start w:val="1"/>
      <w:numFmt w:val="decimal"/>
      <w:lvlText w:val="%1."/>
      <w:lvlJc w:val="left"/>
      <w:pPr>
        <w:ind w:left="720" w:hanging="360"/>
      </w:pPr>
      <w:rPr>
        <w:rFonts w:ascii="Calibri" w:eastAsiaTheme="minorHAnsi" w:hAnsi="Calibri" w:cs="Calibr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2CD76E2"/>
    <w:multiLevelType w:val="hybridMultilevel"/>
    <w:tmpl w:val="DA102F54"/>
    <w:lvl w:ilvl="0" w:tplc="9470381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31A7C00"/>
    <w:multiLevelType w:val="hybridMultilevel"/>
    <w:tmpl w:val="BAC4A136"/>
    <w:lvl w:ilvl="0" w:tplc="3BB63918">
      <w:start w:val="1"/>
      <w:numFmt w:val="decimal"/>
      <w:lvlText w:val="%1."/>
      <w:lvlJc w:val="left"/>
      <w:pPr>
        <w:ind w:left="720" w:hanging="360"/>
      </w:pPr>
      <w:rPr>
        <w:rFonts w:ascii="Calibri" w:eastAsiaTheme="minorHAnsi" w:hAnsi="Calibri" w:cs="Calibr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41477B9"/>
    <w:multiLevelType w:val="hybridMultilevel"/>
    <w:tmpl w:val="D19AAEF0"/>
    <w:lvl w:ilvl="0" w:tplc="E3E8D896">
      <w:start w:val="1"/>
      <w:numFmt w:val="decimal"/>
      <w:lvlText w:val="%1."/>
      <w:lvlJc w:val="left"/>
      <w:pPr>
        <w:ind w:left="720" w:hanging="360"/>
      </w:pPr>
      <w:rPr>
        <w:rFonts w:asciiTheme="minorHAnsi" w:eastAsiaTheme="minorHAnsi" w:hAnsiTheme="minorHAnsi" w:cstheme="minorBid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4EF55DE4"/>
    <w:multiLevelType w:val="hybridMultilevel"/>
    <w:tmpl w:val="02B8B24E"/>
    <w:lvl w:ilvl="0" w:tplc="548E5B18">
      <w:start w:val="1"/>
      <w:numFmt w:val="decimal"/>
      <w:lvlText w:val="%1."/>
      <w:lvlJc w:val="left"/>
      <w:pPr>
        <w:ind w:left="502" w:hanging="360"/>
      </w:pPr>
    </w:lvl>
    <w:lvl w:ilvl="1" w:tplc="08160019">
      <w:start w:val="1"/>
      <w:numFmt w:val="lowerLetter"/>
      <w:lvlText w:val="%2."/>
      <w:lvlJc w:val="left"/>
      <w:pPr>
        <w:ind w:left="1222" w:hanging="360"/>
      </w:pPr>
    </w:lvl>
    <w:lvl w:ilvl="2" w:tplc="0816001B">
      <w:start w:val="1"/>
      <w:numFmt w:val="lowerRoman"/>
      <w:lvlText w:val="%3."/>
      <w:lvlJc w:val="right"/>
      <w:pPr>
        <w:ind w:left="1942" w:hanging="180"/>
      </w:pPr>
    </w:lvl>
    <w:lvl w:ilvl="3" w:tplc="0816000F">
      <w:start w:val="1"/>
      <w:numFmt w:val="decimal"/>
      <w:lvlText w:val="%4."/>
      <w:lvlJc w:val="left"/>
      <w:pPr>
        <w:ind w:left="2662" w:hanging="360"/>
      </w:pPr>
    </w:lvl>
    <w:lvl w:ilvl="4" w:tplc="08160019">
      <w:start w:val="1"/>
      <w:numFmt w:val="lowerLetter"/>
      <w:lvlText w:val="%5."/>
      <w:lvlJc w:val="left"/>
      <w:pPr>
        <w:ind w:left="3382" w:hanging="360"/>
      </w:pPr>
    </w:lvl>
    <w:lvl w:ilvl="5" w:tplc="0816001B">
      <w:start w:val="1"/>
      <w:numFmt w:val="lowerRoman"/>
      <w:lvlText w:val="%6."/>
      <w:lvlJc w:val="right"/>
      <w:pPr>
        <w:ind w:left="4102" w:hanging="180"/>
      </w:pPr>
    </w:lvl>
    <w:lvl w:ilvl="6" w:tplc="0816000F">
      <w:start w:val="1"/>
      <w:numFmt w:val="decimal"/>
      <w:lvlText w:val="%7."/>
      <w:lvlJc w:val="left"/>
      <w:pPr>
        <w:ind w:left="4822" w:hanging="360"/>
      </w:pPr>
    </w:lvl>
    <w:lvl w:ilvl="7" w:tplc="08160019">
      <w:start w:val="1"/>
      <w:numFmt w:val="lowerLetter"/>
      <w:lvlText w:val="%8."/>
      <w:lvlJc w:val="left"/>
      <w:pPr>
        <w:ind w:left="5542" w:hanging="360"/>
      </w:pPr>
    </w:lvl>
    <w:lvl w:ilvl="8" w:tplc="0816001B">
      <w:start w:val="1"/>
      <w:numFmt w:val="lowerRoman"/>
      <w:lvlText w:val="%9."/>
      <w:lvlJc w:val="right"/>
      <w:pPr>
        <w:ind w:left="6262" w:hanging="180"/>
      </w:pPr>
    </w:lvl>
  </w:abstractNum>
  <w:abstractNum w:abstractNumId="8" w15:restartNumberingAfterBreak="0">
    <w:nsid w:val="5BDD7F56"/>
    <w:multiLevelType w:val="hybridMultilevel"/>
    <w:tmpl w:val="48F8AE7A"/>
    <w:lvl w:ilvl="0" w:tplc="0DC82DCE">
      <w:start w:val="1"/>
      <w:numFmt w:val="decimal"/>
      <w:lvlText w:val="%1."/>
      <w:lvlJc w:val="left"/>
      <w:pPr>
        <w:ind w:left="502" w:hanging="360"/>
      </w:pPr>
      <w:rPr>
        <w:rFonts w:ascii="Calibri" w:eastAsiaTheme="minorHAnsi" w:hAnsi="Calibri" w:cs="Calibri"/>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9" w15:restartNumberingAfterBreak="0">
    <w:nsid w:val="5D183C7C"/>
    <w:multiLevelType w:val="hybridMultilevel"/>
    <w:tmpl w:val="6D70E300"/>
    <w:lvl w:ilvl="0" w:tplc="03423582">
      <w:start w:val="1"/>
      <w:numFmt w:val="decimal"/>
      <w:lvlText w:val="%1."/>
      <w:lvlJc w:val="left"/>
      <w:pPr>
        <w:ind w:left="720" w:hanging="360"/>
      </w:pPr>
      <w:rPr>
        <w:rFonts w:ascii="Calibri" w:eastAsiaTheme="minorHAnsi" w:hAnsi="Calibri" w:cs="Calibri"/>
        <w:color w:val="0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3BA48C38">
      <w:start w:val="1"/>
      <w:numFmt w:val="decimal"/>
      <w:lvlText w:val="%4."/>
      <w:lvlJc w:val="left"/>
      <w:pPr>
        <w:ind w:left="2880" w:hanging="360"/>
      </w:pPr>
      <w:rPr>
        <w:rFonts w:ascii="Calibri" w:eastAsia="Calibri" w:hAnsi="Calibri" w:cs="Times New Roman"/>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F5181994">
      <w:start w:val="1"/>
      <w:numFmt w:val="decimal"/>
      <w:lvlText w:val="%7."/>
      <w:lvlJc w:val="left"/>
      <w:pPr>
        <w:ind w:left="5040" w:hanging="360"/>
      </w:pPr>
      <w:rPr>
        <w:rFonts w:ascii="Calibri" w:eastAsiaTheme="minorHAnsi" w:hAnsi="Calibri" w:cs="Calibri"/>
      </w:r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0" w15:restartNumberingAfterBreak="0">
    <w:nsid w:val="69C20A98"/>
    <w:multiLevelType w:val="hybridMultilevel"/>
    <w:tmpl w:val="AABC75CA"/>
    <w:lvl w:ilvl="0" w:tplc="5E00B2E6">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71773E0F"/>
    <w:multiLevelType w:val="hybridMultilevel"/>
    <w:tmpl w:val="46FA56F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35555C8"/>
    <w:multiLevelType w:val="hybridMultilevel"/>
    <w:tmpl w:val="53C419AA"/>
    <w:lvl w:ilvl="0" w:tplc="9260EE6C">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AE507CC"/>
    <w:multiLevelType w:val="hybridMultilevel"/>
    <w:tmpl w:val="421EE15E"/>
    <w:lvl w:ilvl="0" w:tplc="871CE234">
      <w:start w:val="1"/>
      <w:numFmt w:val="decimal"/>
      <w:lvlText w:val="%1."/>
      <w:lvlJc w:val="left"/>
      <w:pPr>
        <w:ind w:left="502" w:hanging="360"/>
      </w:pPr>
      <w:rPr>
        <w:rFonts w:ascii="Calibri" w:eastAsiaTheme="minorHAnsi" w:hAnsi="Calibri" w:cs="Calibri"/>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4" w15:restartNumberingAfterBreak="0">
    <w:nsid w:val="7E637CB2"/>
    <w:multiLevelType w:val="hybridMultilevel"/>
    <w:tmpl w:val="0860A84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13"/>
  </w:num>
  <w:num w:numId="3">
    <w:abstractNumId w:val="9"/>
  </w:num>
  <w:num w:numId="4">
    <w:abstractNumId w:val="1"/>
  </w:num>
  <w:num w:numId="5">
    <w:abstractNumId w:val="0"/>
  </w:num>
  <w:num w:numId="6">
    <w:abstractNumId w:val="8"/>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41"/>
    <w:rsid w:val="00062B66"/>
    <w:rsid w:val="00085127"/>
    <w:rsid w:val="00085F88"/>
    <w:rsid w:val="00091944"/>
    <w:rsid w:val="000B0E27"/>
    <w:rsid w:val="000D0FCE"/>
    <w:rsid w:val="000E6643"/>
    <w:rsid w:val="00103A9C"/>
    <w:rsid w:val="00133D66"/>
    <w:rsid w:val="00165730"/>
    <w:rsid w:val="001A1326"/>
    <w:rsid w:val="001D2E2D"/>
    <w:rsid w:val="001E1E24"/>
    <w:rsid w:val="001E5BE1"/>
    <w:rsid w:val="0022132A"/>
    <w:rsid w:val="00240309"/>
    <w:rsid w:val="0025059E"/>
    <w:rsid w:val="00257998"/>
    <w:rsid w:val="00262CC0"/>
    <w:rsid w:val="00271641"/>
    <w:rsid w:val="00284201"/>
    <w:rsid w:val="00290B7A"/>
    <w:rsid w:val="002A7311"/>
    <w:rsid w:val="002C7D10"/>
    <w:rsid w:val="002F76D7"/>
    <w:rsid w:val="002F7C45"/>
    <w:rsid w:val="00343016"/>
    <w:rsid w:val="003A1D98"/>
    <w:rsid w:val="003B3E19"/>
    <w:rsid w:val="003D2DE2"/>
    <w:rsid w:val="003E3365"/>
    <w:rsid w:val="00401FD7"/>
    <w:rsid w:val="004116F2"/>
    <w:rsid w:val="00472326"/>
    <w:rsid w:val="00472708"/>
    <w:rsid w:val="004769E7"/>
    <w:rsid w:val="00512657"/>
    <w:rsid w:val="00515EB1"/>
    <w:rsid w:val="005253D8"/>
    <w:rsid w:val="005601DE"/>
    <w:rsid w:val="005923FD"/>
    <w:rsid w:val="0059504A"/>
    <w:rsid w:val="005A1475"/>
    <w:rsid w:val="00616F85"/>
    <w:rsid w:val="0062381A"/>
    <w:rsid w:val="00626050"/>
    <w:rsid w:val="0064437C"/>
    <w:rsid w:val="00675C01"/>
    <w:rsid w:val="006920F5"/>
    <w:rsid w:val="00697B7E"/>
    <w:rsid w:val="00715F95"/>
    <w:rsid w:val="00733612"/>
    <w:rsid w:val="00733716"/>
    <w:rsid w:val="00760710"/>
    <w:rsid w:val="00762188"/>
    <w:rsid w:val="00770103"/>
    <w:rsid w:val="007956F2"/>
    <w:rsid w:val="007968AA"/>
    <w:rsid w:val="007C2F71"/>
    <w:rsid w:val="007C5B61"/>
    <w:rsid w:val="007D06B9"/>
    <w:rsid w:val="007D310D"/>
    <w:rsid w:val="007F70F6"/>
    <w:rsid w:val="00821779"/>
    <w:rsid w:val="00841F97"/>
    <w:rsid w:val="00866D30"/>
    <w:rsid w:val="008737BC"/>
    <w:rsid w:val="008B46FF"/>
    <w:rsid w:val="008E1C7A"/>
    <w:rsid w:val="008F6636"/>
    <w:rsid w:val="0090268F"/>
    <w:rsid w:val="0092243C"/>
    <w:rsid w:val="009275D6"/>
    <w:rsid w:val="00940A3E"/>
    <w:rsid w:val="00971835"/>
    <w:rsid w:val="009C2F34"/>
    <w:rsid w:val="009C3176"/>
    <w:rsid w:val="009F13DE"/>
    <w:rsid w:val="009F577D"/>
    <w:rsid w:val="00A33EDC"/>
    <w:rsid w:val="00A6117F"/>
    <w:rsid w:val="00A74BB4"/>
    <w:rsid w:val="00A96D7E"/>
    <w:rsid w:val="00A976F9"/>
    <w:rsid w:val="00AA14B2"/>
    <w:rsid w:val="00AB48F2"/>
    <w:rsid w:val="00AD66EE"/>
    <w:rsid w:val="00AF0DEE"/>
    <w:rsid w:val="00B13F07"/>
    <w:rsid w:val="00B156CB"/>
    <w:rsid w:val="00B20A78"/>
    <w:rsid w:val="00B36393"/>
    <w:rsid w:val="00C764B8"/>
    <w:rsid w:val="00C9723A"/>
    <w:rsid w:val="00CD5691"/>
    <w:rsid w:val="00CE7AA7"/>
    <w:rsid w:val="00D1717E"/>
    <w:rsid w:val="00D374CC"/>
    <w:rsid w:val="00D40146"/>
    <w:rsid w:val="00D46941"/>
    <w:rsid w:val="00D756D1"/>
    <w:rsid w:val="00DA3340"/>
    <w:rsid w:val="00DB2A61"/>
    <w:rsid w:val="00DD15BA"/>
    <w:rsid w:val="00E019D5"/>
    <w:rsid w:val="00E113E0"/>
    <w:rsid w:val="00E55C27"/>
    <w:rsid w:val="00E73A4F"/>
    <w:rsid w:val="00E97C7F"/>
    <w:rsid w:val="00EA04D2"/>
    <w:rsid w:val="00EA7D5D"/>
    <w:rsid w:val="00ED0F5B"/>
    <w:rsid w:val="00F31675"/>
    <w:rsid w:val="00F50E09"/>
    <w:rsid w:val="00F76A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68DE92-0A29-4B11-835D-0D490D29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4D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7164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71641"/>
  </w:style>
  <w:style w:type="paragraph" w:styleId="Rodap">
    <w:name w:val="footer"/>
    <w:basedOn w:val="Normal"/>
    <w:link w:val="RodapCarter"/>
    <w:uiPriority w:val="99"/>
    <w:unhideWhenUsed/>
    <w:rsid w:val="0027164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71641"/>
  </w:style>
  <w:style w:type="paragraph" w:styleId="PargrafodaLista">
    <w:name w:val="List Paragraph"/>
    <w:basedOn w:val="Normal"/>
    <w:uiPriority w:val="34"/>
    <w:qFormat/>
    <w:rsid w:val="00F50E09"/>
    <w:pPr>
      <w:spacing w:after="0" w:line="240" w:lineRule="auto"/>
      <w:ind w:left="720"/>
    </w:pPr>
    <w:rPr>
      <w:rFonts w:ascii="Calibri" w:hAnsi="Calibri" w:cs="Calibri"/>
    </w:rPr>
  </w:style>
  <w:style w:type="table" w:styleId="Tabelacomgrelha">
    <w:name w:val="Table Grid"/>
    <w:basedOn w:val="Tabelanormal"/>
    <w:uiPriority w:val="39"/>
    <w:rsid w:val="00221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E73A4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73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6021">
      <w:bodyDiv w:val="1"/>
      <w:marLeft w:val="0"/>
      <w:marRight w:val="0"/>
      <w:marTop w:val="0"/>
      <w:marBottom w:val="0"/>
      <w:divBdr>
        <w:top w:val="none" w:sz="0" w:space="0" w:color="auto"/>
        <w:left w:val="none" w:sz="0" w:space="0" w:color="auto"/>
        <w:bottom w:val="none" w:sz="0" w:space="0" w:color="auto"/>
        <w:right w:val="none" w:sz="0" w:space="0" w:color="auto"/>
      </w:divBdr>
    </w:div>
    <w:div w:id="359358274">
      <w:bodyDiv w:val="1"/>
      <w:marLeft w:val="0"/>
      <w:marRight w:val="0"/>
      <w:marTop w:val="0"/>
      <w:marBottom w:val="0"/>
      <w:divBdr>
        <w:top w:val="none" w:sz="0" w:space="0" w:color="auto"/>
        <w:left w:val="none" w:sz="0" w:space="0" w:color="auto"/>
        <w:bottom w:val="none" w:sz="0" w:space="0" w:color="auto"/>
        <w:right w:val="none" w:sz="0" w:space="0" w:color="auto"/>
      </w:divBdr>
    </w:div>
    <w:div w:id="659038307">
      <w:bodyDiv w:val="1"/>
      <w:marLeft w:val="0"/>
      <w:marRight w:val="0"/>
      <w:marTop w:val="0"/>
      <w:marBottom w:val="0"/>
      <w:divBdr>
        <w:top w:val="none" w:sz="0" w:space="0" w:color="auto"/>
        <w:left w:val="none" w:sz="0" w:space="0" w:color="auto"/>
        <w:bottom w:val="none" w:sz="0" w:space="0" w:color="auto"/>
        <w:right w:val="none" w:sz="0" w:space="0" w:color="auto"/>
      </w:divBdr>
    </w:div>
    <w:div w:id="985819815">
      <w:bodyDiv w:val="1"/>
      <w:marLeft w:val="0"/>
      <w:marRight w:val="0"/>
      <w:marTop w:val="0"/>
      <w:marBottom w:val="0"/>
      <w:divBdr>
        <w:top w:val="none" w:sz="0" w:space="0" w:color="auto"/>
        <w:left w:val="none" w:sz="0" w:space="0" w:color="auto"/>
        <w:bottom w:val="none" w:sz="0" w:space="0" w:color="auto"/>
        <w:right w:val="none" w:sz="0" w:space="0" w:color="auto"/>
      </w:divBdr>
    </w:div>
    <w:div w:id="1477993223">
      <w:bodyDiv w:val="1"/>
      <w:marLeft w:val="0"/>
      <w:marRight w:val="0"/>
      <w:marTop w:val="0"/>
      <w:marBottom w:val="0"/>
      <w:divBdr>
        <w:top w:val="none" w:sz="0" w:space="0" w:color="auto"/>
        <w:left w:val="none" w:sz="0" w:space="0" w:color="auto"/>
        <w:bottom w:val="none" w:sz="0" w:space="0" w:color="auto"/>
        <w:right w:val="none" w:sz="0" w:space="0" w:color="auto"/>
      </w:divBdr>
    </w:div>
    <w:div w:id="1779182538">
      <w:bodyDiv w:val="1"/>
      <w:marLeft w:val="0"/>
      <w:marRight w:val="0"/>
      <w:marTop w:val="0"/>
      <w:marBottom w:val="0"/>
      <w:divBdr>
        <w:top w:val="none" w:sz="0" w:space="0" w:color="auto"/>
        <w:left w:val="none" w:sz="0" w:space="0" w:color="auto"/>
        <w:bottom w:val="none" w:sz="0" w:space="0" w:color="auto"/>
        <w:right w:val="none" w:sz="0" w:space="0" w:color="auto"/>
      </w:divBdr>
    </w:div>
    <w:div w:id="19702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1851</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Fontes</dc:creator>
  <cp:keywords/>
  <dc:description/>
  <cp:lastModifiedBy>Ricardo Machado</cp:lastModifiedBy>
  <cp:revision>2</cp:revision>
  <cp:lastPrinted>2015-04-24T11:10:00Z</cp:lastPrinted>
  <dcterms:created xsi:type="dcterms:W3CDTF">2016-07-25T11:16:00Z</dcterms:created>
  <dcterms:modified xsi:type="dcterms:W3CDTF">2016-07-25T11:16:00Z</dcterms:modified>
</cp:coreProperties>
</file>